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beforeLines="50" w:after="120" w:afterLines="50" w:line="800" w:lineRule="exact"/>
        <w:jc w:val="center"/>
        <w:rPr>
          <w:rFonts w:ascii="仿宋" w:hAnsi="仿宋" w:eastAsia="仿宋" w:cs="宋体"/>
          <w:color w:val="000000" w:themeColor="text1"/>
          <w:sz w:val="28"/>
          <w:szCs w:val="28"/>
          <w14:textFill>
            <w14:solidFill>
              <w14:schemeClr w14:val="tx1"/>
            </w14:solidFill>
          </w14:textFill>
        </w:rPr>
      </w:pPr>
    </w:p>
    <w:p>
      <w:pPr>
        <w:spacing w:before="120" w:beforeLines="50" w:after="120" w:afterLines="50" w:line="800" w:lineRule="exact"/>
        <w:jc w:val="center"/>
        <w:rPr>
          <w:rFonts w:ascii="仿宋" w:hAnsi="仿宋" w:eastAsia="仿宋" w:cs="宋体"/>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池州市政府采购服务类</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竞争性磋商文件</w:t>
      </w:r>
    </w:p>
    <w:p>
      <w:pPr>
        <w:spacing w:before="120" w:beforeLines="50" w:after="120" w:afterLines="50" w:line="800" w:lineRule="exact"/>
        <w:ind w:firstLine="1237" w:firstLineChars="442"/>
        <w:rPr>
          <w:rFonts w:ascii="仿宋" w:hAnsi="仿宋" w:eastAsia="仿宋"/>
          <w:bCs/>
          <w:color w:val="000000" w:themeColor="text1"/>
          <w:sz w:val="28"/>
          <w:szCs w:val="28"/>
          <w14:textFill>
            <w14:solidFill>
              <w14:schemeClr w14:val="tx1"/>
            </w14:solidFill>
          </w14:textFill>
        </w:rPr>
      </w:pPr>
    </w:p>
    <w:p>
      <w:pPr>
        <w:spacing w:before="120" w:beforeLines="50" w:after="120" w:afterLines="50" w:line="800" w:lineRule="exact"/>
        <w:ind w:firstLine="1237" w:firstLineChars="442"/>
        <w:rPr>
          <w:rFonts w:ascii="仿宋" w:hAnsi="仿宋" w:eastAsia="仿宋"/>
          <w:bCs/>
          <w:color w:val="000000" w:themeColor="text1"/>
          <w:sz w:val="28"/>
          <w:szCs w:val="28"/>
          <w14:textFill>
            <w14:solidFill>
              <w14:schemeClr w14:val="tx1"/>
            </w14:solidFill>
          </w14:textFill>
        </w:rPr>
      </w:pPr>
    </w:p>
    <w:p>
      <w:pPr>
        <w:spacing w:before="120" w:beforeLines="50" w:after="120" w:afterLines="50" w:line="800" w:lineRule="exact"/>
        <w:ind w:firstLine="1237" w:firstLineChars="442"/>
        <w:rPr>
          <w:rFonts w:ascii="仿宋" w:hAnsi="仿宋" w:eastAsia="仿宋"/>
          <w:bCs/>
          <w:color w:val="000000" w:themeColor="text1"/>
          <w:sz w:val="28"/>
          <w:szCs w:val="28"/>
          <w14:textFill>
            <w14:solidFill>
              <w14:schemeClr w14:val="tx1"/>
            </w14:solidFill>
          </w14:textFill>
        </w:rPr>
      </w:pPr>
    </w:p>
    <w:p>
      <w:pPr>
        <w:spacing w:before="120" w:beforeLines="50" w:after="120" w:afterLines="50" w:line="800" w:lineRule="exact"/>
        <w:ind w:firstLine="1237" w:firstLineChars="442"/>
        <w:rPr>
          <w:rFonts w:ascii="仿宋" w:hAnsi="仿宋" w:eastAsia="仿宋"/>
          <w:bCs/>
          <w:color w:val="000000" w:themeColor="text1"/>
          <w:sz w:val="28"/>
          <w:szCs w:val="28"/>
          <w14:textFill>
            <w14:solidFill>
              <w14:schemeClr w14:val="tx1"/>
            </w14:solidFill>
          </w14:textFill>
        </w:rPr>
      </w:pPr>
    </w:p>
    <w:p>
      <w:pPr>
        <w:pStyle w:val="2"/>
        <w:rPr>
          <w:rFonts w:ascii="仿宋" w:hAnsi="仿宋" w:eastAsia="仿宋"/>
          <w:bCs/>
          <w:color w:val="000000" w:themeColor="text1"/>
          <w:sz w:val="28"/>
          <w:szCs w:val="28"/>
          <w14:textFill>
            <w14:solidFill>
              <w14:schemeClr w14:val="tx1"/>
            </w14:solidFill>
          </w14:textFill>
        </w:rPr>
      </w:pPr>
    </w:p>
    <w:p>
      <w:pPr>
        <w:pStyle w:val="3"/>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项目名称：</w:t>
      </w:r>
      <w:r>
        <w:rPr>
          <w:rFonts w:hint="eastAsia" w:ascii="仿宋_GB2312" w:hAnsi="仿宋_GB2312" w:eastAsia="仿宋_GB2312" w:cs="仿宋_GB2312"/>
          <w:bCs/>
          <w:color w:val="000000" w:themeColor="text1"/>
          <w:sz w:val="32"/>
          <w:szCs w:val="32"/>
          <w:u w:val="single"/>
          <w:lang w:eastAsia="zh-CN"/>
          <w14:textFill>
            <w14:solidFill>
              <w14:schemeClr w14:val="tx1"/>
            </w14:solidFill>
          </w14:textFill>
        </w:rPr>
        <w:t>池州市第三人民医院</w:t>
      </w:r>
      <w:r>
        <w:rPr>
          <w:rFonts w:hint="eastAsia" w:ascii="仿宋_GB2312" w:hAnsi="仿宋_GB2312" w:eastAsia="仿宋_GB2312" w:cs="仿宋_GB2312"/>
          <w:bCs/>
          <w:color w:val="000000" w:themeColor="text1"/>
          <w:sz w:val="32"/>
          <w:szCs w:val="32"/>
          <w:u w:val="single"/>
          <w:lang w:val="en-US" w:eastAsia="zh-CN"/>
          <w14:textFill>
            <w14:solidFill>
              <w14:schemeClr w14:val="tx1"/>
            </w14:solidFill>
          </w14:textFill>
        </w:rPr>
        <w:t>云服务项目</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项目编号：</w:t>
      </w:r>
      <w:r>
        <w:rPr>
          <w:rFonts w:hint="eastAsia" w:ascii="仿宋_GB2312" w:hAnsi="仿宋_GB2312" w:eastAsia="仿宋_GB2312" w:cs="仿宋_GB2312"/>
          <w:bCs/>
          <w:color w:val="000000" w:themeColor="text1"/>
          <w:sz w:val="32"/>
          <w:szCs w:val="32"/>
          <w:u w:val="single"/>
          <w:lang w:val="en-US" w:eastAsia="zh-CN"/>
          <w14:textFill>
            <w14:solidFill>
              <w14:schemeClr w14:val="tx1"/>
            </w14:solidFill>
          </w14:textFill>
        </w:rPr>
        <w:t>CZSY20230419</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采 购 人：</w:t>
      </w:r>
      <w:r>
        <w:rPr>
          <w:rFonts w:hint="eastAsia" w:ascii="仿宋_GB2312" w:hAnsi="仿宋_GB2312" w:eastAsia="仿宋_GB2312" w:cs="仿宋_GB2312"/>
          <w:bCs/>
          <w:color w:val="000000" w:themeColor="text1"/>
          <w:sz w:val="32"/>
          <w:szCs w:val="32"/>
          <w:u w:val="single"/>
          <w:lang w:eastAsia="zh-CN"/>
          <w14:textFill>
            <w14:solidFill>
              <w14:schemeClr w14:val="tx1"/>
            </w14:solidFill>
          </w14:textFill>
        </w:rPr>
        <w:t>池州市第三人民医院</w:t>
      </w:r>
      <w:r>
        <w:rPr>
          <w:rFonts w:hint="eastAsia" w:ascii="仿宋_GB2312" w:hAnsi="仿宋_GB2312" w:eastAsia="仿宋_GB2312" w:cs="仿宋_GB2312"/>
          <w:bCs/>
          <w:color w:val="000000" w:themeColor="text1"/>
          <w:sz w:val="32"/>
          <w:szCs w:val="32"/>
          <w:u w:val="single"/>
          <w14:textFill>
            <w14:solidFill>
              <w14:schemeClr w14:val="tx1"/>
            </w14:solidFill>
          </w14:textFill>
        </w:rPr>
        <w:t xml:space="preserve"> </w:t>
      </w:r>
    </w:p>
    <w:p>
      <w:pPr>
        <w:spacing w:line="560" w:lineRule="exact"/>
        <w:rPr>
          <w:rFonts w:hint="eastAsia" w:ascii="仿宋_GB2312" w:hAnsi="仿宋_GB2312" w:eastAsia="仿宋_GB2312" w:cs="仿宋_GB2312"/>
          <w:bCs/>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pacing w:val="8"/>
          <w:sz w:val="32"/>
          <w:szCs w:val="32"/>
          <w14:textFill>
            <w14:solidFill>
              <w14:schemeClr w14:val="tx1"/>
            </w14:solidFill>
          </w14:textFill>
        </w:rPr>
        <w:t xml:space="preserve"> </w:t>
      </w:r>
    </w:p>
    <w:p>
      <w:pPr>
        <w:spacing w:line="360" w:lineRule="auto"/>
        <w:ind w:firstLine="3504" w:firstLineChars="1095"/>
        <w:rPr>
          <w:rFonts w:hint="eastAsia" w:ascii="仿宋_GB2312" w:hAnsi="仿宋_GB2312" w:eastAsia="仿宋_GB2312" w:cs="仿宋_GB2312"/>
          <w:bCs/>
          <w:color w:val="000000" w:themeColor="text1"/>
          <w:sz w:val="32"/>
          <w:szCs w:val="32"/>
          <w14:textFill>
            <w14:solidFill>
              <w14:schemeClr w14:val="tx1"/>
            </w14:solidFill>
          </w14:textFill>
        </w:rPr>
      </w:pPr>
    </w:p>
    <w:p>
      <w:pPr>
        <w:spacing w:line="360" w:lineRule="auto"/>
        <w:ind w:firstLine="3504" w:firstLineChars="1095"/>
        <w:rPr>
          <w:rFonts w:hint="eastAsia" w:ascii="仿宋_GB2312" w:hAnsi="仿宋_GB2312" w:eastAsia="仿宋_GB2312" w:cs="仿宋_GB2312"/>
          <w:bCs/>
          <w:color w:val="000000" w:themeColor="text1"/>
          <w:sz w:val="32"/>
          <w:szCs w:val="32"/>
          <w14:textFill>
            <w14:solidFill>
              <w14:schemeClr w14:val="tx1"/>
            </w14:solidFill>
          </w14:textFill>
        </w:rPr>
      </w:pPr>
    </w:p>
    <w:p>
      <w:pPr>
        <w:pStyle w:val="2"/>
        <w:rPr>
          <w:rFonts w:hint="eastAsia" w:ascii="仿宋_GB2312" w:hAnsi="仿宋_GB2312" w:eastAsia="仿宋_GB2312" w:cs="仿宋_GB2312"/>
          <w:bCs/>
          <w:color w:val="000000" w:themeColor="text1"/>
          <w:sz w:val="32"/>
          <w:szCs w:val="32"/>
          <w14:textFill>
            <w14:solidFill>
              <w14:schemeClr w14:val="tx1"/>
            </w14:solidFill>
          </w14:textFill>
        </w:rPr>
      </w:pPr>
    </w:p>
    <w:p>
      <w:pPr>
        <w:pStyle w:val="3"/>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14:textFill>
            <w14:solidFill>
              <w14:schemeClr w14:val="tx1"/>
            </w14:solidFill>
          </w14:textFill>
        </w:rPr>
        <w:t>日期：</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2023</w:t>
      </w:r>
      <w:r>
        <w:rPr>
          <w:rFonts w:hint="eastAsia" w:ascii="仿宋_GB2312" w:hAnsi="仿宋_GB2312" w:eastAsia="仿宋_GB2312" w:cs="仿宋_GB2312"/>
          <w:bCs/>
          <w:color w:val="000000" w:themeColor="text1"/>
          <w:sz w:val="32"/>
          <w:szCs w:val="32"/>
          <w14:textFill>
            <w14:solidFill>
              <w14:schemeClr w14:val="tx1"/>
            </w14:solidFill>
          </w14:textFill>
        </w:rPr>
        <w:t>年</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04</w:t>
      </w:r>
      <w:r>
        <w:rPr>
          <w:rFonts w:hint="eastAsia" w:ascii="仿宋_GB2312" w:hAnsi="仿宋_GB2312" w:eastAsia="仿宋_GB2312" w:cs="仿宋_GB2312"/>
          <w:bCs/>
          <w:color w:val="000000" w:themeColor="text1"/>
          <w:sz w:val="32"/>
          <w:szCs w:val="32"/>
          <w14:textFill>
            <w14:solidFill>
              <w14:schemeClr w14:val="tx1"/>
            </w14:solidFill>
          </w14:textFill>
        </w:rPr>
        <w:t>月</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000000" w:themeColor="text1"/>
          <w:sz w:val="32"/>
          <w:szCs w:val="32"/>
          <w14:textFill>
            <w14:solidFill>
              <w14:schemeClr w14:val="tx1"/>
            </w14:solidFill>
          </w14:textFill>
        </w:rPr>
        <w:sectPr>
          <w:pgSz w:w="11906" w:h="16838"/>
          <w:pgMar w:top="1440" w:right="1797" w:bottom="1440" w:left="1797" w:header="851" w:footer="992" w:gutter="0"/>
          <w:cols w:space="720" w:num="1"/>
        </w:sectPr>
      </w:pPr>
    </w:p>
    <w:p>
      <w:pPr>
        <w:widowControl/>
        <w:spacing w:line="360" w:lineRule="auto"/>
        <w:jc w:val="left"/>
        <w:rPr>
          <w:rFonts w:ascii="仿宋" w:hAnsi="仿宋" w:eastAsia="仿宋"/>
          <w:bCs/>
          <w:color w:val="000000" w:themeColor="text1"/>
          <w:sz w:val="28"/>
          <w:szCs w:val="28"/>
          <w14:textFill>
            <w14:solidFill>
              <w14:schemeClr w14:val="tx1"/>
            </w14:solidFill>
          </w14:textFill>
        </w:rPr>
      </w:pPr>
    </w:p>
    <w:p>
      <w:pPr>
        <w:widowControl/>
        <w:spacing w:line="360" w:lineRule="auto"/>
        <w:jc w:val="left"/>
        <w:rPr>
          <w:rFonts w:ascii="仿宋" w:hAnsi="仿宋" w:eastAsia="仿宋"/>
          <w:bCs/>
          <w:color w:val="000000" w:themeColor="text1"/>
          <w:sz w:val="28"/>
          <w:szCs w:val="28"/>
          <w14:textFill>
            <w14:solidFill>
              <w14:schemeClr w14:val="tx1"/>
            </w14:solidFill>
          </w14:textFill>
        </w:rPr>
      </w:pPr>
    </w:p>
    <w:sdt>
      <w:sdtPr>
        <w:rPr>
          <w:rFonts w:ascii="Times New Roman" w:hAnsi="Times New Roman" w:eastAsia="宋体" w:cs="Times New Roman"/>
          <w:color w:val="auto"/>
          <w:kern w:val="2"/>
          <w:sz w:val="21"/>
          <w:szCs w:val="24"/>
          <w:lang w:val="zh-CN"/>
        </w:rPr>
        <w:id w:val="72477221"/>
        <w:docPartObj>
          <w:docPartGallery w:val="Table of Contents"/>
          <w:docPartUnique/>
        </w:docPartObj>
      </w:sdtPr>
      <w:sdtEndPr>
        <w:rPr>
          <w:rFonts w:ascii="Times New Roman" w:hAnsi="Times New Roman" w:eastAsia="宋体" w:cs="Times New Roman"/>
          <w:b/>
          <w:bCs/>
          <w:color w:val="auto"/>
          <w:kern w:val="2"/>
          <w:sz w:val="21"/>
          <w:szCs w:val="24"/>
          <w:lang w:val="zh-CN"/>
        </w:rPr>
      </w:sdtEndPr>
      <w:sdtContent>
        <w:p>
          <w:pPr>
            <w:spacing w:before="0" w:beforeLines="0" w:after="0" w:afterLines="0" w:line="240" w:lineRule="auto"/>
            <w:ind w:left="0" w:leftChars="0" w:right="0" w:rightChars="0" w:firstLine="0" w:firstLineChars="0"/>
            <w:jc w:val="center"/>
          </w:pPr>
          <w:bookmarkStart w:id="0" w:name="_Toc9003"/>
          <w:bookmarkStart w:id="1" w:name="_Toc28207"/>
          <w:r>
            <w:rPr>
              <w:rFonts w:ascii="宋体" w:hAnsi="宋体" w:eastAsia="宋体"/>
              <w:sz w:val="21"/>
            </w:rPr>
            <w:t>目录</w:t>
          </w:r>
        </w:p>
        <w:p>
          <w:pPr>
            <w:pStyle w:val="26"/>
            <w:keepNext w:val="0"/>
            <w:keepLines w:val="0"/>
            <w:pageBreakBefore w:val="0"/>
            <w:widowControl w:val="0"/>
            <w:tabs>
              <w:tab w:val="right" w:leader="dot" w:pos="9070"/>
            </w:tabs>
            <w:kinsoku/>
            <w:wordWrap/>
            <w:overflowPunct/>
            <w:topLinePunct w:val="0"/>
            <w:autoSpaceDE/>
            <w:autoSpaceDN/>
            <w:bidi w:val="0"/>
            <w:adjustRightInd/>
            <w:snapToGrid/>
            <w:spacing w:before="0" w:beforeLines="100" w:after="0" w:afterLines="100" w:line="560" w:lineRule="exact"/>
            <w:textAlignment w:val="auto"/>
            <w:rPr>
              <w:rFonts w:hint="eastAsia" w:ascii="仿宋_GB2312" w:hAnsi="仿宋_GB2312" w:eastAsia="仿宋_GB2312" w:cs="仿宋_GB2312"/>
              <w:b w:val="0"/>
              <w:bCs w:val="0"/>
              <w:sz w:val="32"/>
              <w:szCs w:val="32"/>
            </w:rPr>
          </w:pPr>
          <w:r>
            <w:rPr>
              <w:rFonts w:ascii="仿宋" w:hAnsi="仿宋" w:eastAsia="仿宋"/>
              <w:b w:val="0"/>
              <w:sz w:val="28"/>
              <w:szCs w:val="28"/>
            </w:rPr>
            <w:fldChar w:fldCharType="begin"/>
          </w:r>
          <w:r>
            <w:rPr>
              <w:rFonts w:ascii="仿宋" w:hAnsi="仿宋" w:eastAsia="仿宋"/>
              <w:b w:val="0"/>
              <w:sz w:val="28"/>
              <w:szCs w:val="28"/>
            </w:rPr>
            <w:instrText xml:space="preserve"> TOC \o "1-1" \h \z \u </w:instrText>
          </w:r>
          <w:r>
            <w:rPr>
              <w:rFonts w:ascii="仿宋" w:hAnsi="仿宋" w:eastAsia="仿宋"/>
              <w:b w:val="0"/>
              <w:sz w:val="28"/>
              <w:szCs w:val="28"/>
            </w:rPr>
            <w:fldChar w:fldCharType="separate"/>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_Toc13273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第一章 磋商公告（磋商邀请函）</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_Toc13273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2</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26"/>
            <w:keepNext w:val="0"/>
            <w:keepLines w:val="0"/>
            <w:pageBreakBefore w:val="0"/>
            <w:widowControl w:val="0"/>
            <w:tabs>
              <w:tab w:val="right" w:leader="dot" w:pos="9070"/>
            </w:tabs>
            <w:kinsoku/>
            <w:wordWrap/>
            <w:overflowPunct/>
            <w:topLinePunct w:val="0"/>
            <w:autoSpaceDE/>
            <w:autoSpaceDN/>
            <w:bidi w:val="0"/>
            <w:adjustRightInd/>
            <w:snapToGrid/>
            <w:spacing w:before="0" w:beforeLines="100" w:after="0" w:afterLines="100" w:line="56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_Toc4783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第二章 供应商须知前附表</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_Toc4783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4</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26"/>
            <w:keepNext w:val="0"/>
            <w:keepLines w:val="0"/>
            <w:pageBreakBefore w:val="0"/>
            <w:widowControl w:val="0"/>
            <w:tabs>
              <w:tab w:val="right" w:leader="dot" w:pos="9070"/>
            </w:tabs>
            <w:kinsoku/>
            <w:wordWrap/>
            <w:overflowPunct/>
            <w:topLinePunct w:val="0"/>
            <w:autoSpaceDE/>
            <w:autoSpaceDN/>
            <w:bidi w:val="0"/>
            <w:adjustRightInd/>
            <w:snapToGrid/>
            <w:spacing w:before="0" w:beforeLines="100" w:after="0" w:afterLines="100" w:line="56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_Toc10673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第三章  采购需求</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_Toc10673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10</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26"/>
            <w:keepNext w:val="0"/>
            <w:keepLines w:val="0"/>
            <w:pageBreakBefore w:val="0"/>
            <w:widowControl w:val="0"/>
            <w:tabs>
              <w:tab w:val="right" w:leader="dot" w:pos="9070"/>
            </w:tabs>
            <w:kinsoku/>
            <w:wordWrap/>
            <w:overflowPunct/>
            <w:topLinePunct w:val="0"/>
            <w:autoSpaceDE/>
            <w:autoSpaceDN/>
            <w:bidi w:val="0"/>
            <w:adjustRightInd/>
            <w:snapToGrid/>
            <w:spacing w:before="0" w:beforeLines="100" w:after="0" w:afterLines="100" w:line="56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_Toc32458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第四章 评标方法和标准</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_Toc32458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11</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26"/>
            <w:keepNext w:val="0"/>
            <w:keepLines w:val="0"/>
            <w:pageBreakBefore w:val="0"/>
            <w:widowControl w:val="0"/>
            <w:tabs>
              <w:tab w:val="right" w:leader="dot" w:pos="9070"/>
            </w:tabs>
            <w:kinsoku/>
            <w:wordWrap/>
            <w:overflowPunct/>
            <w:topLinePunct w:val="0"/>
            <w:autoSpaceDE/>
            <w:autoSpaceDN/>
            <w:bidi w:val="0"/>
            <w:adjustRightInd/>
            <w:snapToGrid/>
            <w:spacing w:before="0" w:beforeLines="100" w:after="0" w:afterLines="100" w:line="56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_Toc21263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第五章 供应商须知</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_Toc21263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15</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pStyle w:val="26"/>
            <w:keepNext w:val="0"/>
            <w:keepLines w:val="0"/>
            <w:pageBreakBefore w:val="0"/>
            <w:widowControl w:val="0"/>
            <w:tabs>
              <w:tab w:val="right" w:leader="dot" w:pos="9070"/>
            </w:tabs>
            <w:kinsoku/>
            <w:wordWrap/>
            <w:overflowPunct/>
            <w:topLinePunct w:val="0"/>
            <w:autoSpaceDE/>
            <w:autoSpaceDN/>
            <w:bidi w:val="0"/>
            <w:adjustRightInd/>
            <w:snapToGrid/>
            <w:spacing w:before="0" w:beforeLines="100" w:after="0" w:afterLines="100" w:line="560" w:lineRule="exact"/>
            <w:textAlignment w:val="auto"/>
          </w:pP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HYPERLINK \l _Toc13758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第</w:t>
          </w:r>
          <w:r>
            <w:rPr>
              <w:rFonts w:hint="eastAsia" w:ascii="仿宋_GB2312" w:hAnsi="仿宋_GB2312" w:eastAsia="仿宋_GB2312" w:cs="仿宋_GB2312"/>
              <w:b w:val="0"/>
              <w:bCs w:val="0"/>
              <w:sz w:val="32"/>
              <w:szCs w:val="32"/>
              <w:lang w:eastAsia="zh-CN"/>
            </w:rPr>
            <w:t>六</w:t>
          </w:r>
          <w:r>
            <w:rPr>
              <w:rFonts w:hint="eastAsia" w:ascii="仿宋_GB2312" w:hAnsi="仿宋_GB2312" w:eastAsia="仿宋_GB2312" w:cs="仿宋_GB2312"/>
              <w:b w:val="0"/>
              <w:bCs w:val="0"/>
              <w:sz w:val="32"/>
              <w:szCs w:val="32"/>
            </w:rPr>
            <w:t>章  磋商响应文件内容及格式</w:t>
          </w:r>
          <w:r>
            <w:rPr>
              <w:rFonts w:hint="eastAsia" w:ascii="仿宋_GB2312" w:hAnsi="仿宋_GB2312" w:eastAsia="仿宋_GB2312" w:cs="仿宋_GB2312"/>
              <w:b w:val="0"/>
              <w:bCs w:val="0"/>
              <w:sz w:val="32"/>
              <w:szCs w:val="32"/>
            </w:rPr>
            <w:tab/>
          </w:r>
          <w:r>
            <w:rPr>
              <w:rFonts w:hint="eastAsia" w:ascii="仿宋_GB2312" w:hAnsi="仿宋_GB2312" w:eastAsia="仿宋_GB2312" w:cs="仿宋_GB2312"/>
              <w:b w:val="0"/>
              <w:bCs w:val="0"/>
              <w:sz w:val="32"/>
              <w:szCs w:val="32"/>
            </w:rPr>
            <w:fldChar w:fldCharType="begin"/>
          </w:r>
          <w:r>
            <w:rPr>
              <w:rFonts w:hint="eastAsia" w:ascii="仿宋_GB2312" w:hAnsi="仿宋_GB2312" w:eastAsia="仿宋_GB2312" w:cs="仿宋_GB2312"/>
              <w:b w:val="0"/>
              <w:bCs w:val="0"/>
              <w:sz w:val="32"/>
              <w:szCs w:val="32"/>
            </w:rPr>
            <w:instrText xml:space="preserve"> PAGEREF _Toc13758 \h </w:instrText>
          </w:r>
          <w:r>
            <w:rPr>
              <w:rFonts w:hint="eastAsia" w:ascii="仿宋_GB2312" w:hAnsi="仿宋_GB2312" w:eastAsia="仿宋_GB2312" w:cs="仿宋_GB2312"/>
              <w:b w:val="0"/>
              <w:bCs w:val="0"/>
              <w:sz w:val="32"/>
              <w:szCs w:val="32"/>
            </w:rPr>
            <w:fldChar w:fldCharType="separate"/>
          </w:r>
          <w:r>
            <w:rPr>
              <w:rFonts w:hint="eastAsia" w:ascii="仿宋_GB2312" w:hAnsi="仿宋_GB2312" w:eastAsia="仿宋_GB2312" w:cs="仿宋_GB2312"/>
              <w:b w:val="0"/>
              <w:bCs w:val="0"/>
              <w:sz w:val="32"/>
              <w:szCs w:val="32"/>
            </w:rPr>
            <w:t>26</w:t>
          </w:r>
          <w:r>
            <w:rPr>
              <w:rFonts w:hint="eastAsia" w:ascii="仿宋_GB2312" w:hAnsi="仿宋_GB2312" w:eastAsia="仿宋_GB2312" w:cs="仿宋_GB2312"/>
              <w:b w:val="0"/>
              <w:bCs w:val="0"/>
              <w:sz w:val="32"/>
              <w:szCs w:val="32"/>
            </w:rPr>
            <w:fldChar w:fldCharType="end"/>
          </w:r>
          <w:r>
            <w:rPr>
              <w:rFonts w:hint="eastAsia" w:ascii="仿宋_GB2312" w:hAnsi="仿宋_GB2312" w:eastAsia="仿宋_GB2312" w:cs="仿宋_GB2312"/>
              <w:b w:val="0"/>
              <w:bCs w:val="0"/>
              <w:sz w:val="32"/>
              <w:szCs w:val="32"/>
            </w:rPr>
            <w:fldChar w:fldCharType="end"/>
          </w:r>
        </w:p>
        <w:p>
          <w:pPr>
            <w:spacing w:line="480" w:lineRule="auto"/>
          </w:pPr>
          <w:r>
            <w:rPr>
              <w:rFonts w:ascii="仿宋" w:hAnsi="仿宋" w:eastAsia="仿宋"/>
              <w:szCs w:val="28"/>
            </w:rPr>
            <w:fldChar w:fldCharType="end"/>
          </w:r>
        </w:p>
      </w:sdtContent>
    </w:sdt>
    <w:p>
      <w:pPr>
        <w:tabs>
          <w:tab w:val="right" w:leader="dot" w:pos="9070"/>
        </w:tabs>
        <w:spacing w:line="360" w:lineRule="auto"/>
        <w:ind w:left="420"/>
        <w:jc w:val="left"/>
        <w:rPr>
          <w:rFonts w:ascii="仿宋" w:hAnsi="仿宋" w:eastAsia="仿宋" w:cs="宋体"/>
          <w:color w:val="000000" w:themeColor="text1"/>
          <w:sz w:val="28"/>
          <w:szCs w:val="28"/>
          <w14:textFill>
            <w14:solidFill>
              <w14:schemeClr w14:val="tx1"/>
            </w14:solidFill>
          </w14:textFill>
        </w:rPr>
      </w:pPr>
    </w:p>
    <w:p>
      <w:pPr>
        <w:tabs>
          <w:tab w:val="right" w:leader="dot" w:pos="9070"/>
        </w:tabs>
        <w:spacing w:line="360" w:lineRule="auto"/>
        <w:ind w:left="420"/>
        <w:jc w:val="left"/>
        <w:rPr>
          <w:rFonts w:ascii="仿宋" w:hAnsi="仿宋" w:eastAsia="仿宋" w:cs="宋体"/>
          <w:color w:val="000000" w:themeColor="text1"/>
          <w:sz w:val="28"/>
          <w:szCs w:val="28"/>
          <w14:textFill>
            <w14:solidFill>
              <w14:schemeClr w14:val="tx1"/>
            </w14:solidFill>
          </w14:textFill>
        </w:rPr>
      </w:pPr>
    </w:p>
    <w:p>
      <w:pPr>
        <w:tabs>
          <w:tab w:val="right" w:leader="dot" w:pos="9070"/>
        </w:tabs>
        <w:spacing w:line="360" w:lineRule="auto"/>
        <w:jc w:val="left"/>
        <w:rPr>
          <w:rFonts w:ascii="仿宋" w:hAnsi="仿宋" w:eastAsia="仿宋" w:cs="宋体"/>
          <w:color w:val="000000" w:themeColor="text1"/>
          <w:sz w:val="28"/>
          <w:szCs w:val="28"/>
          <w14:textFill>
            <w14:solidFill>
              <w14:schemeClr w14:val="tx1"/>
            </w14:solidFill>
          </w14:textFill>
        </w:rPr>
      </w:pPr>
    </w:p>
    <w:p>
      <w:pPr>
        <w:tabs>
          <w:tab w:val="right" w:leader="dot" w:pos="9070"/>
        </w:tabs>
        <w:spacing w:line="360" w:lineRule="auto"/>
        <w:ind w:left="420"/>
        <w:jc w:val="left"/>
        <w:rPr>
          <w:rFonts w:ascii="仿宋" w:hAnsi="仿宋" w:eastAsia="仿宋" w:cs="宋体"/>
          <w:color w:val="000000" w:themeColor="text1"/>
          <w:sz w:val="28"/>
          <w:szCs w:val="28"/>
          <w14:textFill>
            <w14:solidFill>
              <w14:schemeClr w14:val="tx1"/>
            </w14:solidFill>
          </w14:textFill>
        </w:rPr>
      </w:pPr>
    </w:p>
    <w:p>
      <w:pPr>
        <w:tabs>
          <w:tab w:val="right" w:leader="dot" w:pos="9070"/>
        </w:tabs>
        <w:spacing w:line="360" w:lineRule="auto"/>
        <w:ind w:left="420"/>
        <w:jc w:val="left"/>
        <w:rPr>
          <w:rFonts w:ascii="仿宋" w:hAnsi="仿宋" w:eastAsia="仿宋" w:cs="宋体"/>
          <w:color w:val="000000" w:themeColor="text1"/>
          <w:sz w:val="28"/>
          <w:szCs w:val="28"/>
          <w14:textFill>
            <w14:solidFill>
              <w14:schemeClr w14:val="tx1"/>
            </w14:solidFill>
          </w14:textFill>
        </w:rPr>
      </w:pPr>
    </w:p>
    <w:p>
      <w:pPr>
        <w:tabs>
          <w:tab w:val="right" w:leader="dot" w:pos="9070"/>
        </w:tabs>
        <w:spacing w:line="360" w:lineRule="auto"/>
        <w:jc w:val="left"/>
        <w:rPr>
          <w:rFonts w:ascii="仿宋" w:hAnsi="仿宋" w:eastAsia="仿宋" w:cs="宋体"/>
          <w:color w:val="000000" w:themeColor="text1"/>
          <w:sz w:val="28"/>
          <w:szCs w:val="28"/>
          <w14:textFill>
            <w14:solidFill>
              <w14:schemeClr w14:val="tx1"/>
            </w14:solidFill>
          </w14:textFill>
        </w:rPr>
      </w:pPr>
    </w:p>
    <w:bookmarkEnd w:id="0"/>
    <w:bookmarkEnd w:id="1"/>
    <w:p>
      <w:pPr>
        <w:rPr>
          <w:rFonts w:hint="eastAsia" w:ascii="华文中宋" w:hAnsi="华文中宋" w:eastAsia="华文中宋"/>
          <w:b w:val="0"/>
        </w:rPr>
      </w:pPr>
      <w:r>
        <w:rPr>
          <w:rFonts w:hint="eastAsia" w:ascii="华文中宋" w:hAnsi="华文中宋" w:eastAsia="华文中宋"/>
          <w:b w:val="0"/>
        </w:rPr>
        <w:br w:type="page"/>
      </w:r>
    </w:p>
    <w:p>
      <w:pPr>
        <w:pStyle w:val="4"/>
        <w:jc w:val="center"/>
        <w:rPr>
          <w:rFonts w:ascii="华文中宋" w:hAnsi="华文中宋" w:eastAsia="华文中宋"/>
          <w:b w:val="0"/>
        </w:rPr>
      </w:pPr>
      <w:bookmarkStart w:id="2" w:name="_Toc13273"/>
      <w:r>
        <w:rPr>
          <w:rFonts w:hint="eastAsia" w:ascii="华文中宋" w:hAnsi="华文中宋" w:eastAsia="华文中宋"/>
          <w:b w:val="0"/>
        </w:rPr>
        <w:t>第一章 磋商公告（磋商邀请函）</w:t>
      </w:r>
      <w:bookmarkEnd w:id="2"/>
    </w:p>
    <w:p>
      <w:pPr>
        <w:pBdr>
          <w:top w:val="single" w:color="auto" w:sz="4" w:space="1"/>
          <w:left w:val="single" w:color="auto" w:sz="4" w:space="4"/>
          <w:bottom w:val="single" w:color="auto" w:sz="4" w:space="1"/>
          <w:right w:val="single" w:color="auto" w:sz="4" w:space="4"/>
        </w:pBdr>
        <w:spacing w:line="400" w:lineRule="exact"/>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项目概况</w:t>
      </w:r>
    </w:p>
    <w:p>
      <w:pPr>
        <w:pBdr>
          <w:top w:val="single" w:color="auto" w:sz="4" w:space="1"/>
          <w:left w:val="single" w:color="auto" w:sz="4" w:space="4"/>
          <w:bottom w:val="single" w:color="auto" w:sz="4" w:space="1"/>
          <w:right w:val="single" w:color="auto" w:sz="4" w:space="4"/>
        </w:pBdr>
        <w:spacing w:line="400" w:lineRule="exact"/>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u w:val="single"/>
          <w:lang w:eastAsia="zh-CN"/>
          <w14:textFill>
            <w14:solidFill>
              <w14:schemeClr w14:val="tx1"/>
            </w14:solidFill>
          </w14:textFill>
        </w:rPr>
        <w:t>池州市第三人民医院</w:t>
      </w:r>
      <w:r>
        <w:rPr>
          <w:rFonts w:hint="eastAsia" w:ascii="仿宋" w:hAnsi="仿宋" w:eastAsia="仿宋"/>
          <w:color w:val="000000" w:themeColor="text1"/>
          <w:sz w:val="28"/>
          <w:szCs w:val="28"/>
          <w:highlight w:val="none"/>
          <w:u w:val="single"/>
          <w:lang w:val="en-US" w:eastAsia="zh-CN"/>
          <w14:textFill>
            <w14:solidFill>
              <w14:schemeClr w14:val="tx1"/>
            </w14:solidFill>
          </w14:textFill>
        </w:rPr>
        <w:t xml:space="preserve">云服务项目 </w:t>
      </w:r>
      <w:r>
        <w:rPr>
          <w:rFonts w:hint="eastAsia" w:ascii="仿宋" w:hAnsi="仿宋" w:eastAsia="仿宋"/>
          <w:color w:val="000000" w:themeColor="text1"/>
          <w:sz w:val="28"/>
          <w:szCs w:val="28"/>
          <w:highlight w:val="none"/>
          <w14:textFill>
            <w14:solidFill>
              <w14:schemeClr w14:val="tx1"/>
            </w14:solidFill>
          </w14:textFill>
        </w:rPr>
        <w:t>的潜在供应商在</w:t>
      </w:r>
      <w:r>
        <w:rPr>
          <w:rFonts w:hint="eastAsia" w:ascii="仿宋" w:hAnsi="仿宋" w:eastAsia="仿宋"/>
          <w:color w:val="000000" w:themeColor="text1"/>
          <w:sz w:val="28"/>
          <w:szCs w:val="28"/>
          <w:highlight w:val="none"/>
          <w:lang w:eastAsia="zh-CN"/>
          <w14:textFill>
            <w14:solidFill>
              <w14:schemeClr w14:val="tx1"/>
            </w14:solidFill>
          </w14:textFill>
        </w:rPr>
        <w:t>池州市第三人民医院</w:t>
      </w:r>
      <w:r>
        <w:rPr>
          <w:rFonts w:hint="eastAsia" w:ascii="仿宋" w:hAnsi="仿宋" w:eastAsia="仿宋"/>
          <w:color w:val="000000" w:themeColor="text1"/>
          <w:sz w:val="28"/>
          <w:szCs w:val="28"/>
          <w:highlight w:val="none"/>
          <w14:textFill>
            <w14:solidFill>
              <w14:schemeClr w14:val="tx1"/>
            </w14:solidFill>
          </w14:textFill>
        </w:rPr>
        <w:t>获取采购文件，并于</w:t>
      </w:r>
      <w:r>
        <w:rPr>
          <w:rFonts w:hint="eastAsia" w:ascii="仿宋" w:hAnsi="仿宋" w:eastAsia="仿宋"/>
          <w:color w:val="000000" w:themeColor="text1"/>
          <w:sz w:val="28"/>
          <w:szCs w:val="28"/>
          <w:highlight w:val="none"/>
          <w:lang w:val="en-US" w:eastAsia="zh-CN"/>
          <w14:textFill>
            <w14:solidFill>
              <w14:schemeClr w14:val="tx1"/>
            </w14:solidFill>
          </w14:textFill>
        </w:rPr>
        <w:t>2023</w:t>
      </w:r>
      <w:r>
        <w:rPr>
          <w:rFonts w:hint="eastAsia" w:ascii="仿宋" w:hAnsi="仿宋" w:eastAsia="仿宋"/>
          <w:bCs/>
          <w:color w:val="000000" w:themeColor="text1"/>
          <w:sz w:val="28"/>
          <w:szCs w:val="28"/>
          <w:highlight w:val="none"/>
          <w14:textFill>
            <w14:solidFill>
              <w14:schemeClr w14:val="tx1"/>
            </w14:solidFill>
          </w14:textFill>
        </w:rPr>
        <w:t>年</w:t>
      </w:r>
      <w:r>
        <w:rPr>
          <w:rFonts w:hint="eastAsia" w:ascii="仿宋" w:hAnsi="仿宋" w:eastAsia="仿宋"/>
          <w:bCs/>
          <w:color w:val="000000" w:themeColor="text1"/>
          <w:sz w:val="28"/>
          <w:szCs w:val="28"/>
          <w:highlight w:val="none"/>
          <w:lang w:val="en-US" w:eastAsia="zh-CN"/>
          <w14:textFill>
            <w14:solidFill>
              <w14:schemeClr w14:val="tx1"/>
            </w14:solidFill>
          </w14:textFill>
        </w:rPr>
        <w:t>04</w:t>
      </w:r>
      <w:r>
        <w:rPr>
          <w:rFonts w:hint="eastAsia" w:ascii="仿宋" w:hAnsi="仿宋" w:eastAsia="仿宋"/>
          <w:bCs/>
          <w:color w:val="000000" w:themeColor="text1"/>
          <w:sz w:val="28"/>
          <w:szCs w:val="28"/>
          <w:highlight w:val="none"/>
          <w14:textFill>
            <w14:solidFill>
              <w14:schemeClr w14:val="tx1"/>
            </w14:solidFill>
          </w14:textFill>
        </w:rPr>
        <w:t>月</w:t>
      </w:r>
      <w:r>
        <w:rPr>
          <w:rFonts w:hint="eastAsia" w:ascii="仿宋" w:hAnsi="仿宋" w:eastAsia="仿宋"/>
          <w:bCs/>
          <w:color w:val="000000" w:themeColor="text1"/>
          <w:sz w:val="28"/>
          <w:szCs w:val="28"/>
          <w:highlight w:val="none"/>
          <w:lang w:val="en-US" w:eastAsia="zh-CN"/>
          <w14:textFill>
            <w14:solidFill>
              <w14:schemeClr w14:val="tx1"/>
            </w14:solidFill>
          </w14:textFill>
        </w:rPr>
        <w:t>19</w:t>
      </w:r>
      <w:r>
        <w:rPr>
          <w:rFonts w:hint="eastAsia" w:ascii="仿宋" w:hAnsi="仿宋" w:eastAsia="仿宋"/>
          <w:bCs/>
          <w:color w:val="000000" w:themeColor="text1"/>
          <w:sz w:val="28"/>
          <w:szCs w:val="28"/>
          <w:highlight w:val="none"/>
          <w14:textFill>
            <w14:solidFill>
              <w14:schemeClr w14:val="tx1"/>
            </w14:solidFill>
          </w14:textFill>
        </w:rPr>
        <w:t>日</w:t>
      </w:r>
      <w:r>
        <w:rPr>
          <w:rFonts w:hint="eastAsia" w:ascii="仿宋" w:hAnsi="仿宋" w:eastAsia="仿宋"/>
          <w:bCs/>
          <w:color w:val="000000" w:themeColor="text1"/>
          <w:sz w:val="28"/>
          <w:szCs w:val="28"/>
          <w:highlight w:val="none"/>
          <w:lang w:val="en-US" w:eastAsia="zh-CN"/>
          <w14:textFill>
            <w14:solidFill>
              <w14:schemeClr w14:val="tx1"/>
            </w14:solidFill>
          </w14:textFill>
        </w:rPr>
        <w:t>10</w:t>
      </w:r>
      <w:r>
        <w:rPr>
          <w:rFonts w:hint="eastAsia" w:ascii="仿宋" w:hAnsi="仿宋" w:eastAsia="仿宋"/>
          <w:bCs/>
          <w:color w:val="000000" w:themeColor="text1"/>
          <w:sz w:val="28"/>
          <w:szCs w:val="28"/>
          <w:highlight w:val="none"/>
          <w14:textFill>
            <w14:solidFill>
              <w14:schemeClr w14:val="tx1"/>
            </w14:solidFill>
          </w14:textFill>
        </w:rPr>
        <w:t>点</w:t>
      </w:r>
      <w:r>
        <w:rPr>
          <w:rFonts w:hint="eastAsia" w:ascii="仿宋" w:hAnsi="仿宋" w:eastAsia="仿宋"/>
          <w:bCs/>
          <w:color w:val="000000" w:themeColor="text1"/>
          <w:sz w:val="28"/>
          <w:szCs w:val="28"/>
          <w:highlight w:val="none"/>
          <w:lang w:val="en-US" w:eastAsia="zh-CN"/>
          <w14:textFill>
            <w14:solidFill>
              <w14:schemeClr w14:val="tx1"/>
            </w14:solidFill>
          </w14:textFill>
        </w:rPr>
        <w:t>00</w:t>
      </w:r>
      <w:r>
        <w:rPr>
          <w:rFonts w:hint="eastAsia" w:ascii="仿宋" w:hAnsi="仿宋" w:eastAsia="仿宋"/>
          <w:bCs/>
          <w:color w:val="000000" w:themeColor="text1"/>
          <w:sz w:val="28"/>
          <w:szCs w:val="28"/>
          <w:highlight w:val="none"/>
          <w14:textFill>
            <w14:solidFill>
              <w14:schemeClr w14:val="tx1"/>
            </w14:solidFill>
          </w14:textFill>
        </w:rPr>
        <w:t>分（北京时间）前提交响应文件</w:t>
      </w:r>
      <w:r>
        <w:rPr>
          <w:rFonts w:hint="eastAsia" w:ascii="仿宋" w:hAnsi="仿宋" w:eastAsia="仿宋"/>
          <w:color w:val="000000" w:themeColor="text1"/>
          <w:sz w:val="28"/>
          <w:szCs w:val="28"/>
          <w:highlight w:val="none"/>
          <w14:textFill>
            <w14:solidFill>
              <w14:schemeClr w14:val="tx1"/>
            </w14:solidFill>
          </w14:textFill>
        </w:rPr>
        <w:t>。</w:t>
      </w:r>
    </w:p>
    <w:p>
      <w:pPr>
        <w:pStyle w:val="5"/>
        <w:keepNext w:val="0"/>
        <w:spacing w:line="400" w:lineRule="exact"/>
        <w:jc w:val="both"/>
        <w:rPr>
          <w:rFonts w:ascii="黑体" w:hAnsi="黑体" w:eastAsia="黑体"/>
          <w:color w:val="000000" w:themeColor="text1"/>
          <w:szCs w:val="28"/>
          <w:highlight w:val="none"/>
          <w14:textFill>
            <w14:solidFill>
              <w14:schemeClr w14:val="tx1"/>
            </w14:solidFill>
          </w14:textFill>
        </w:rPr>
      </w:pPr>
      <w:bookmarkStart w:id="3" w:name="_Toc35393629"/>
      <w:bookmarkStart w:id="4" w:name="_Toc28359012"/>
      <w:bookmarkStart w:id="5" w:name="_Toc35393798"/>
      <w:bookmarkStart w:id="6" w:name="_Toc28359089"/>
      <w:r>
        <w:rPr>
          <w:rFonts w:hint="eastAsia" w:ascii="黑体" w:hAnsi="黑体" w:eastAsia="黑体"/>
          <w:color w:val="000000" w:themeColor="text1"/>
          <w:szCs w:val="28"/>
          <w:highlight w:val="none"/>
          <w14:textFill>
            <w14:solidFill>
              <w14:schemeClr w14:val="tx1"/>
            </w14:solidFill>
          </w14:textFill>
        </w:rPr>
        <w:t>一、项目基本情况</w:t>
      </w:r>
      <w:bookmarkEnd w:id="3"/>
      <w:bookmarkEnd w:id="4"/>
      <w:bookmarkEnd w:id="5"/>
      <w:bookmarkEnd w:id="6"/>
    </w:p>
    <w:p>
      <w:pPr>
        <w:spacing w:line="400" w:lineRule="exact"/>
        <w:ind w:firstLine="560" w:firstLineChars="200"/>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项目编号：</w:t>
      </w:r>
      <w:r>
        <w:rPr>
          <w:rFonts w:hint="eastAsia" w:ascii="仿宋" w:hAnsi="仿宋" w:eastAsia="仿宋"/>
          <w:color w:val="000000" w:themeColor="text1"/>
          <w:sz w:val="28"/>
          <w:szCs w:val="28"/>
          <w:highlight w:val="none"/>
          <w:u w:val="single"/>
          <w:lang w:val="en-US" w:eastAsia="zh-CN"/>
          <w14:textFill>
            <w14:solidFill>
              <w14:schemeClr w14:val="tx1"/>
            </w14:solidFill>
          </w14:textFill>
        </w:rPr>
        <w:t>CZSY20230419</w:t>
      </w:r>
      <w:r>
        <w:rPr>
          <w:rFonts w:hint="eastAsia" w:ascii="仿宋" w:hAnsi="仿宋" w:eastAsia="仿宋"/>
          <w:color w:val="000000" w:themeColor="text1"/>
          <w:sz w:val="28"/>
          <w:szCs w:val="28"/>
          <w:highlight w:val="none"/>
          <w:lang w:val="en-US" w:eastAsia="zh-CN"/>
          <w14:textFill>
            <w14:solidFill>
              <w14:schemeClr w14:val="tx1"/>
            </w14:solidFill>
          </w14:textFill>
        </w:rPr>
        <w:t xml:space="preserve"> </w:t>
      </w:r>
    </w:p>
    <w:p>
      <w:pPr>
        <w:spacing w:line="400" w:lineRule="exact"/>
        <w:ind w:firstLine="560" w:firstLineChars="200"/>
        <w:rPr>
          <w:rFonts w:hint="eastAsia" w:ascii="仿宋" w:hAnsi="仿宋" w:eastAsia="仿宋"/>
          <w:color w:val="000000" w:themeColor="text1"/>
          <w:sz w:val="28"/>
          <w:szCs w:val="28"/>
          <w:highlight w:val="none"/>
          <w:u w:val="single"/>
          <w:lang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项目名称：</w:t>
      </w:r>
      <w:r>
        <w:rPr>
          <w:rFonts w:hint="eastAsia" w:ascii="仿宋" w:hAnsi="仿宋" w:eastAsia="仿宋"/>
          <w:color w:val="000000" w:themeColor="text1"/>
          <w:sz w:val="28"/>
          <w:szCs w:val="28"/>
          <w:highlight w:val="none"/>
          <w:u w:val="single"/>
          <w:lang w:eastAsia="zh-CN"/>
          <w14:textFill>
            <w14:solidFill>
              <w14:schemeClr w14:val="tx1"/>
            </w14:solidFill>
          </w14:textFill>
        </w:rPr>
        <w:t>池州市第三人民医院</w:t>
      </w:r>
      <w:r>
        <w:rPr>
          <w:rFonts w:hint="eastAsia" w:ascii="仿宋" w:hAnsi="仿宋" w:eastAsia="仿宋"/>
          <w:color w:val="000000" w:themeColor="text1"/>
          <w:sz w:val="28"/>
          <w:szCs w:val="28"/>
          <w:highlight w:val="none"/>
          <w:u w:val="single"/>
          <w:lang w:val="en-US" w:eastAsia="zh-CN"/>
          <w14:textFill>
            <w14:solidFill>
              <w14:schemeClr w14:val="tx1"/>
            </w14:solidFill>
          </w14:textFill>
        </w:rPr>
        <w:t>云服务项目</w:t>
      </w:r>
    </w:p>
    <w:p>
      <w:pPr>
        <w:spacing w:line="400" w:lineRule="exact"/>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 xml:space="preserve">采购方式：□竞争性谈判  </w:t>
      </w:r>
      <w:r>
        <w:rPr>
          <w:rFonts w:hint="eastAsia" w:ascii="MS Mincho" w:hAnsi="MS Mincho" w:eastAsia="MS Mincho" w:cs="MS Mincho"/>
          <w:color w:val="000000" w:themeColor="text1"/>
          <w:sz w:val="28"/>
          <w:szCs w:val="28"/>
          <w:highlight w:val="none"/>
          <w14:textFill>
            <w14:solidFill>
              <w14:schemeClr w14:val="tx1"/>
            </w14:solidFill>
          </w14:textFill>
        </w:rPr>
        <w:t>☑</w:t>
      </w:r>
      <w:r>
        <w:rPr>
          <w:rFonts w:hint="eastAsia" w:ascii="仿宋" w:hAnsi="仿宋" w:eastAsia="仿宋"/>
          <w:color w:val="000000" w:themeColor="text1"/>
          <w:sz w:val="28"/>
          <w:szCs w:val="28"/>
          <w:highlight w:val="none"/>
          <w14:textFill>
            <w14:solidFill>
              <w14:schemeClr w14:val="tx1"/>
            </w14:solidFill>
          </w14:textFill>
        </w:rPr>
        <w:t>竞争性磋商 □询价</w:t>
      </w:r>
    </w:p>
    <w:p>
      <w:pPr>
        <w:spacing w:line="400" w:lineRule="exact"/>
        <w:ind w:firstLine="560" w:firstLineChars="200"/>
        <w:rPr>
          <w:rFonts w:ascii="仿宋" w:hAnsi="仿宋" w:eastAsia="仿宋"/>
          <w:bCs/>
          <w:color w:val="000000" w:themeColor="text1"/>
          <w:spacing w:val="8"/>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预算金额：</w:t>
      </w:r>
      <w:r>
        <w:rPr>
          <w:rFonts w:hint="eastAsia" w:ascii="仿宋" w:hAnsi="仿宋" w:eastAsia="仿宋"/>
          <w:bCs/>
          <w:color w:val="000000" w:themeColor="text1"/>
          <w:spacing w:val="8"/>
          <w:sz w:val="28"/>
          <w:szCs w:val="28"/>
          <w:highlight w:val="none"/>
          <w14:textFill>
            <w14:solidFill>
              <w14:schemeClr w14:val="tx1"/>
            </w14:solidFill>
          </w14:textFill>
        </w:rPr>
        <w:t>人民币</w:t>
      </w:r>
      <w:r>
        <w:rPr>
          <w:rFonts w:hint="eastAsia" w:ascii="仿宋" w:hAnsi="仿宋" w:eastAsia="仿宋"/>
          <w:bCs/>
          <w:color w:val="000000" w:themeColor="text1"/>
          <w:spacing w:val="8"/>
          <w:sz w:val="28"/>
          <w:szCs w:val="28"/>
          <w:highlight w:val="none"/>
          <w:lang w:eastAsia="zh-CN"/>
          <w14:textFill>
            <w14:solidFill>
              <w14:schemeClr w14:val="tx1"/>
            </w14:solidFill>
          </w14:textFill>
        </w:rPr>
        <w:t>约</w:t>
      </w:r>
      <w:r>
        <w:rPr>
          <w:rFonts w:hint="eastAsia" w:ascii="宋体" w:hAnsi="宋体" w:eastAsia="仿宋"/>
          <w:bCs/>
          <w:color w:val="auto"/>
          <w:spacing w:val="8"/>
          <w:sz w:val="28"/>
          <w:szCs w:val="28"/>
          <w:highlight w:val="none"/>
          <w:lang w:val="en-US" w:eastAsia="zh-CN"/>
        </w:rPr>
        <w:t>3.2</w:t>
      </w:r>
      <w:r>
        <w:rPr>
          <w:rFonts w:hint="eastAsia" w:ascii="仿宋" w:hAnsi="仿宋" w:eastAsia="仿宋"/>
          <w:bCs/>
          <w:color w:val="000000" w:themeColor="text1"/>
          <w:spacing w:val="8"/>
          <w:sz w:val="28"/>
          <w:szCs w:val="28"/>
          <w:highlight w:val="none"/>
          <w14:textFill>
            <w14:solidFill>
              <w14:schemeClr w14:val="tx1"/>
            </w14:solidFill>
          </w14:textFill>
        </w:rPr>
        <w:t>万元</w:t>
      </w:r>
    </w:p>
    <w:p>
      <w:pPr>
        <w:spacing w:line="400" w:lineRule="exact"/>
        <w:ind w:firstLine="560" w:firstLineChars="200"/>
        <w:rPr>
          <w:rFonts w:hint="eastAsia" w:ascii="仿宋" w:hAnsi="仿宋" w:eastAsia="仿宋"/>
          <w:bCs/>
          <w:color w:val="000000" w:themeColor="text1"/>
          <w:spacing w:val="8"/>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最高限价：</w:t>
      </w:r>
      <w:r>
        <w:rPr>
          <w:rFonts w:hint="eastAsia" w:ascii="仿宋" w:hAnsi="仿宋" w:eastAsia="仿宋"/>
          <w:bCs/>
          <w:color w:val="000000" w:themeColor="text1"/>
          <w:spacing w:val="8"/>
          <w:sz w:val="28"/>
          <w:szCs w:val="28"/>
          <w:highlight w:val="none"/>
          <w14:textFill>
            <w14:solidFill>
              <w14:schemeClr w14:val="tx1"/>
            </w14:solidFill>
          </w14:textFill>
        </w:rPr>
        <w:t>人民币</w:t>
      </w:r>
      <w:r>
        <w:rPr>
          <w:rFonts w:hint="eastAsia" w:ascii="仿宋" w:hAnsi="仿宋" w:eastAsia="仿宋"/>
          <w:bCs/>
          <w:color w:val="000000" w:themeColor="text1"/>
          <w:spacing w:val="8"/>
          <w:sz w:val="28"/>
          <w:szCs w:val="28"/>
          <w:highlight w:val="none"/>
          <w:lang w:eastAsia="zh-CN"/>
          <w14:textFill>
            <w14:solidFill>
              <w14:schemeClr w14:val="tx1"/>
            </w14:solidFill>
          </w14:textFill>
        </w:rPr>
        <w:t>约</w:t>
      </w:r>
      <w:r>
        <w:rPr>
          <w:rFonts w:hint="eastAsia" w:ascii="宋体" w:hAnsi="宋体" w:eastAsia="仿宋"/>
          <w:bCs/>
          <w:color w:val="auto"/>
          <w:spacing w:val="8"/>
          <w:sz w:val="28"/>
          <w:szCs w:val="28"/>
          <w:highlight w:val="none"/>
          <w:lang w:val="en-US" w:eastAsia="zh-CN"/>
        </w:rPr>
        <w:t>3.2</w:t>
      </w:r>
      <w:r>
        <w:rPr>
          <w:rFonts w:hint="eastAsia" w:ascii="仿宋" w:hAnsi="仿宋" w:eastAsia="仿宋"/>
          <w:bCs/>
          <w:color w:val="000000" w:themeColor="text1"/>
          <w:spacing w:val="8"/>
          <w:sz w:val="28"/>
          <w:szCs w:val="28"/>
          <w:highlight w:val="none"/>
          <w14:textFill>
            <w14:solidFill>
              <w14:schemeClr w14:val="tx1"/>
            </w14:solidFill>
          </w14:textFill>
        </w:rPr>
        <w:t>万元</w:t>
      </w:r>
      <w:r>
        <w:rPr>
          <w:rFonts w:hint="eastAsia" w:ascii="仿宋" w:hAnsi="仿宋" w:eastAsia="仿宋"/>
          <w:bCs/>
          <w:color w:val="000000" w:themeColor="text1"/>
          <w:spacing w:val="8"/>
          <w:sz w:val="28"/>
          <w:szCs w:val="28"/>
          <w:highlight w:val="none"/>
          <w:lang w:eastAsia="zh-CN"/>
          <w14:textFill>
            <w14:solidFill>
              <w14:schemeClr w14:val="tx1"/>
            </w14:solidFill>
          </w14:textFill>
        </w:rPr>
        <w:t>。</w:t>
      </w:r>
    </w:p>
    <w:p>
      <w:pPr>
        <w:spacing w:line="400" w:lineRule="exact"/>
        <w:ind w:firstLine="560" w:firstLineChars="200"/>
        <w:rPr>
          <w:rFonts w:ascii="仿宋" w:hAnsi="仿宋" w:eastAsia="仿宋"/>
          <w:color w:val="000000" w:themeColor="text1"/>
          <w:sz w:val="28"/>
          <w:szCs w:val="28"/>
          <w:highlight w:val="none"/>
          <w:u w:val="singl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采购需求：</w:t>
      </w:r>
      <w:r>
        <w:rPr>
          <w:rFonts w:hint="eastAsia" w:ascii="仿宋" w:hAnsi="仿宋" w:eastAsia="仿宋"/>
          <w:color w:val="000000" w:themeColor="text1"/>
          <w:sz w:val="28"/>
          <w:szCs w:val="28"/>
          <w:highlight w:val="none"/>
          <w:u w:val="single"/>
          <w:lang w:val="en-US" w:eastAsia="zh-CN"/>
          <w14:textFill>
            <w14:solidFill>
              <w14:schemeClr w14:val="tx1"/>
            </w14:solidFill>
          </w14:textFill>
        </w:rPr>
        <w:t>云服务项目</w:t>
      </w:r>
      <w:r>
        <w:rPr>
          <w:rFonts w:hint="eastAsia" w:ascii="仿宋" w:hAnsi="仿宋" w:eastAsia="仿宋"/>
          <w:color w:val="000000" w:themeColor="text1"/>
          <w:sz w:val="28"/>
          <w:szCs w:val="28"/>
          <w:highlight w:val="none"/>
          <w14:textFill>
            <w14:solidFill>
              <w14:schemeClr w14:val="tx1"/>
            </w14:solidFill>
          </w14:textFill>
        </w:rPr>
        <w:t>，具体详见采购需求</w:t>
      </w:r>
    </w:p>
    <w:p>
      <w:pPr>
        <w:spacing w:line="400" w:lineRule="exact"/>
        <w:ind w:firstLine="560" w:firstLineChars="200"/>
        <w:rPr>
          <w:rFonts w:ascii="仿宋" w:hAnsi="仿宋" w:eastAsia="仿宋"/>
          <w:color w:val="000000" w:themeColor="text1"/>
          <w:sz w:val="28"/>
          <w:szCs w:val="28"/>
          <w:highlight w:val="none"/>
          <w:u w:val="singl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合同履行期限：合同签订后</w:t>
      </w:r>
      <w:r>
        <w:rPr>
          <w:rFonts w:hint="eastAsia" w:ascii="仿宋" w:hAnsi="仿宋" w:eastAsia="仿宋"/>
          <w:color w:val="000000" w:themeColor="text1"/>
          <w:sz w:val="28"/>
          <w:szCs w:val="28"/>
          <w:highlight w:val="none"/>
          <w:lang w:val="en-US" w:eastAsia="zh-CN"/>
          <w14:textFill>
            <w14:solidFill>
              <w14:schemeClr w14:val="tx1"/>
            </w14:solidFill>
          </w14:textFill>
        </w:rPr>
        <w:t>30</w:t>
      </w:r>
      <w:r>
        <w:rPr>
          <w:rFonts w:hint="eastAsia" w:ascii="仿宋" w:hAnsi="仿宋" w:eastAsia="仿宋"/>
          <w:color w:val="000000" w:themeColor="text1"/>
          <w:sz w:val="28"/>
          <w:szCs w:val="28"/>
          <w:highlight w:val="none"/>
          <w14:textFill>
            <w14:solidFill>
              <w14:schemeClr w14:val="tx1"/>
            </w14:solidFill>
          </w14:textFill>
        </w:rPr>
        <w:t>日历天完成。</w:t>
      </w:r>
    </w:p>
    <w:p>
      <w:pPr>
        <w:spacing w:line="400" w:lineRule="exact"/>
        <w:ind w:firstLine="560" w:firstLineChars="200"/>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本项目（是/否）接受联合体：否。</w:t>
      </w:r>
    </w:p>
    <w:p>
      <w:pPr>
        <w:pStyle w:val="5"/>
        <w:keepNext w:val="0"/>
        <w:spacing w:line="400" w:lineRule="exact"/>
        <w:jc w:val="both"/>
        <w:rPr>
          <w:rFonts w:ascii="黑体" w:hAnsi="黑体" w:eastAsia="黑体"/>
          <w:color w:val="000000" w:themeColor="text1"/>
          <w:szCs w:val="28"/>
          <w14:textFill>
            <w14:solidFill>
              <w14:schemeClr w14:val="tx1"/>
            </w14:solidFill>
          </w14:textFill>
        </w:rPr>
      </w:pPr>
      <w:bookmarkStart w:id="7" w:name="_Toc28359090"/>
      <w:bookmarkStart w:id="8" w:name="_Toc28359013"/>
      <w:bookmarkStart w:id="9" w:name="_Toc35393799"/>
      <w:bookmarkStart w:id="10" w:name="_Toc35393630"/>
      <w:r>
        <w:rPr>
          <w:rFonts w:hint="eastAsia" w:ascii="黑体" w:hAnsi="黑体" w:eastAsia="黑体"/>
          <w:color w:val="000000" w:themeColor="text1"/>
          <w:szCs w:val="28"/>
          <w14:textFill>
            <w14:solidFill>
              <w14:schemeClr w14:val="tx1"/>
            </w14:solidFill>
          </w14:textFill>
        </w:rPr>
        <w:t>二、申请人的资格要求</w:t>
      </w:r>
      <w:bookmarkEnd w:id="7"/>
      <w:bookmarkEnd w:id="8"/>
      <w:bookmarkEnd w:id="9"/>
      <w:bookmarkEnd w:id="10"/>
      <w:r>
        <w:rPr>
          <w:rFonts w:hint="eastAsia" w:ascii="黑体" w:hAnsi="黑体" w:eastAsia="黑体"/>
          <w:color w:val="000000" w:themeColor="text1"/>
          <w:szCs w:val="28"/>
          <w14:textFill>
            <w14:solidFill>
              <w14:schemeClr w14:val="tx1"/>
            </w14:solidFill>
          </w14:textFill>
        </w:rPr>
        <w:t>：</w:t>
      </w:r>
    </w:p>
    <w:p>
      <w:pPr>
        <w:spacing w:line="400" w:lineRule="exact"/>
        <w:ind w:firstLine="592" w:firstLineChars="200"/>
        <w:rPr>
          <w:rFonts w:ascii="仿宋" w:hAnsi="仿宋" w:eastAsia="仿宋"/>
          <w:bCs/>
          <w:color w:val="000000" w:themeColor="text1"/>
          <w:spacing w:val="8"/>
          <w:sz w:val="28"/>
          <w:szCs w:val="28"/>
          <w14:textFill>
            <w14:solidFill>
              <w14:schemeClr w14:val="tx1"/>
            </w14:solidFill>
          </w14:textFill>
        </w:rPr>
      </w:pPr>
      <w:bookmarkStart w:id="11" w:name="_Toc28359091"/>
      <w:bookmarkStart w:id="12" w:name="_Toc28359014"/>
      <w:bookmarkStart w:id="13" w:name="_Toc35393631"/>
      <w:bookmarkStart w:id="14" w:name="_Toc35393800"/>
      <w:r>
        <w:rPr>
          <w:rFonts w:hint="eastAsia" w:ascii="仿宋" w:hAnsi="仿宋" w:eastAsia="仿宋"/>
          <w:bCs/>
          <w:color w:val="000000" w:themeColor="text1"/>
          <w:spacing w:val="8"/>
          <w:sz w:val="28"/>
          <w:szCs w:val="28"/>
          <w14:textFill>
            <w14:solidFill>
              <w14:schemeClr w14:val="tx1"/>
            </w14:solidFill>
          </w14:textFill>
        </w:rPr>
        <w:t>1.满足《中华人民共和国政府采购法》第二十二条规定；</w:t>
      </w:r>
    </w:p>
    <w:p>
      <w:pPr>
        <w:spacing w:line="400" w:lineRule="exact"/>
        <w:ind w:firstLine="592" w:firstLineChars="200"/>
        <w:rPr>
          <w:rFonts w:hint="eastAsia" w:ascii="仿宋" w:hAnsi="仿宋" w:eastAsia="仿宋"/>
          <w:bCs/>
          <w:color w:val="000000" w:themeColor="text1"/>
          <w:spacing w:val="8"/>
          <w:sz w:val="28"/>
          <w:szCs w:val="28"/>
          <w14:textFill>
            <w14:solidFill>
              <w14:schemeClr w14:val="tx1"/>
            </w14:solidFill>
          </w14:textFill>
        </w:rPr>
      </w:pPr>
      <w:r>
        <w:rPr>
          <w:rFonts w:hint="eastAsia" w:ascii="仿宋" w:hAnsi="仿宋" w:eastAsia="仿宋"/>
          <w:bCs/>
          <w:color w:val="000000" w:themeColor="text1"/>
          <w:spacing w:val="8"/>
          <w:sz w:val="28"/>
          <w:szCs w:val="28"/>
          <w:lang w:val="en-US" w:eastAsia="zh-CN"/>
          <w14:textFill>
            <w14:solidFill>
              <w14:schemeClr w14:val="tx1"/>
            </w14:solidFill>
          </w14:textFill>
        </w:rPr>
        <w:t>2.</w:t>
      </w:r>
      <w:r>
        <w:rPr>
          <w:rFonts w:hint="eastAsia" w:ascii="仿宋" w:hAnsi="仿宋" w:eastAsia="仿宋"/>
          <w:bCs/>
          <w:color w:val="000000" w:themeColor="text1"/>
          <w:spacing w:val="8"/>
          <w:sz w:val="28"/>
          <w:szCs w:val="28"/>
          <w14:textFill>
            <w14:solidFill>
              <w14:schemeClr w14:val="tx1"/>
            </w14:solidFill>
          </w14:textFill>
        </w:rPr>
        <w:t>本项目的特定资格要求：</w:t>
      </w:r>
    </w:p>
    <w:p>
      <w:pPr>
        <w:spacing w:line="400" w:lineRule="exact"/>
        <w:ind w:firstLine="592" w:firstLineChars="200"/>
        <w:rPr>
          <w:rFonts w:ascii="仿宋" w:hAnsi="仿宋" w:eastAsia="仿宋"/>
          <w:bCs/>
          <w:color w:val="000000" w:themeColor="text1"/>
          <w:spacing w:val="8"/>
          <w:sz w:val="28"/>
          <w:szCs w:val="28"/>
          <w14:textFill>
            <w14:solidFill>
              <w14:schemeClr w14:val="tx1"/>
            </w14:solidFill>
          </w14:textFill>
        </w:rPr>
      </w:pPr>
      <w:r>
        <w:rPr>
          <w:rFonts w:hint="eastAsia" w:ascii="仿宋" w:hAnsi="仿宋" w:eastAsia="仿宋"/>
          <w:bCs/>
          <w:color w:val="000000" w:themeColor="text1"/>
          <w:spacing w:val="8"/>
          <w:sz w:val="28"/>
          <w:szCs w:val="28"/>
          <w14:textFill>
            <w14:solidFill>
              <w14:schemeClr w14:val="tx1"/>
            </w14:solidFill>
          </w14:textFill>
        </w:rPr>
        <w:t>供应商存在以下不良信用记录情形之一的，不得推荐为中标候选供应商，不得确定为中标供应商：</w:t>
      </w:r>
    </w:p>
    <w:p>
      <w:pPr>
        <w:spacing w:line="400" w:lineRule="exact"/>
        <w:ind w:firstLine="592" w:firstLineChars="200"/>
        <w:rPr>
          <w:rFonts w:ascii="仿宋" w:hAnsi="仿宋" w:eastAsia="仿宋"/>
          <w:bCs/>
          <w:color w:val="000000" w:themeColor="text1"/>
          <w:spacing w:val="8"/>
          <w:sz w:val="28"/>
          <w:szCs w:val="28"/>
          <w14:textFill>
            <w14:solidFill>
              <w14:schemeClr w14:val="tx1"/>
            </w14:solidFill>
          </w14:textFill>
        </w:rPr>
      </w:pPr>
      <w:r>
        <w:rPr>
          <w:rFonts w:hint="eastAsia" w:ascii="仿宋" w:hAnsi="仿宋" w:eastAsia="仿宋"/>
          <w:bCs/>
          <w:color w:val="000000" w:themeColor="text1"/>
          <w:spacing w:val="8"/>
          <w:sz w:val="28"/>
          <w:szCs w:val="28"/>
          <w14:textFill>
            <w14:solidFill>
              <w14:schemeClr w14:val="tx1"/>
            </w14:solidFill>
          </w14:textFill>
        </w:rPr>
        <w:t>（1）供应商被人民法院列入失信被执行人的；</w:t>
      </w:r>
    </w:p>
    <w:p>
      <w:pPr>
        <w:spacing w:line="400" w:lineRule="exact"/>
        <w:ind w:firstLine="592" w:firstLineChars="200"/>
        <w:rPr>
          <w:rFonts w:ascii="仿宋" w:hAnsi="仿宋" w:eastAsia="仿宋"/>
          <w:bCs/>
          <w:color w:val="000000" w:themeColor="text1"/>
          <w:spacing w:val="8"/>
          <w:sz w:val="28"/>
          <w:szCs w:val="28"/>
          <w14:textFill>
            <w14:solidFill>
              <w14:schemeClr w14:val="tx1"/>
            </w14:solidFill>
          </w14:textFill>
        </w:rPr>
      </w:pPr>
      <w:r>
        <w:rPr>
          <w:rFonts w:hint="eastAsia" w:ascii="仿宋" w:hAnsi="仿宋" w:eastAsia="仿宋"/>
          <w:bCs/>
          <w:color w:val="000000" w:themeColor="text1"/>
          <w:spacing w:val="8"/>
          <w:sz w:val="28"/>
          <w:szCs w:val="28"/>
          <w14:textFill>
            <w14:solidFill>
              <w14:schemeClr w14:val="tx1"/>
            </w14:solidFill>
          </w14:textFill>
        </w:rPr>
        <w:t>（2）供应商或其法定代表人或拟派项目经理（项目负责人）被人民检察院列入行贿犯罪档案的；</w:t>
      </w:r>
    </w:p>
    <w:p>
      <w:pPr>
        <w:spacing w:line="400" w:lineRule="exact"/>
        <w:ind w:firstLine="592" w:firstLineChars="200"/>
        <w:rPr>
          <w:rFonts w:ascii="仿宋" w:hAnsi="仿宋" w:eastAsia="仿宋"/>
          <w:bCs/>
          <w:color w:val="000000" w:themeColor="text1"/>
          <w:spacing w:val="8"/>
          <w:sz w:val="28"/>
          <w:szCs w:val="28"/>
          <w14:textFill>
            <w14:solidFill>
              <w14:schemeClr w14:val="tx1"/>
            </w14:solidFill>
          </w14:textFill>
        </w:rPr>
      </w:pPr>
      <w:r>
        <w:rPr>
          <w:rFonts w:hint="eastAsia" w:ascii="仿宋" w:hAnsi="仿宋" w:eastAsia="仿宋"/>
          <w:bCs/>
          <w:color w:val="000000" w:themeColor="text1"/>
          <w:spacing w:val="8"/>
          <w:sz w:val="28"/>
          <w:szCs w:val="28"/>
          <w14:textFill>
            <w14:solidFill>
              <w14:schemeClr w14:val="tx1"/>
            </w14:solidFill>
          </w14:textFill>
        </w:rPr>
        <w:t>（3）供应商被市场监督管理部门列入企业经营异常名录的；</w:t>
      </w:r>
    </w:p>
    <w:p>
      <w:pPr>
        <w:spacing w:line="400" w:lineRule="exact"/>
        <w:ind w:firstLine="592" w:firstLineChars="200"/>
        <w:rPr>
          <w:rFonts w:ascii="仿宋" w:hAnsi="仿宋" w:eastAsia="仿宋"/>
          <w:bCs/>
          <w:color w:val="000000" w:themeColor="text1"/>
          <w:spacing w:val="8"/>
          <w:sz w:val="28"/>
          <w:szCs w:val="28"/>
          <w14:textFill>
            <w14:solidFill>
              <w14:schemeClr w14:val="tx1"/>
            </w14:solidFill>
          </w14:textFill>
        </w:rPr>
      </w:pPr>
      <w:r>
        <w:rPr>
          <w:rFonts w:hint="eastAsia" w:ascii="仿宋" w:hAnsi="仿宋" w:eastAsia="仿宋"/>
          <w:bCs/>
          <w:color w:val="000000" w:themeColor="text1"/>
          <w:spacing w:val="8"/>
          <w:sz w:val="28"/>
          <w:szCs w:val="28"/>
          <w14:textFill>
            <w14:solidFill>
              <w14:schemeClr w14:val="tx1"/>
            </w14:solidFill>
          </w14:textFill>
        </w:rPr>
        <w:t>（4）供应商被税务部门列入重大税收违法案件当事人名单的；</w:t>
      </w:r>
    </w:p>
    <w:p>
      <w:pPr>
        <w:spacing w:line="400" w:lineRule="exact"/>
        <w:ind w:firstLine="592" w:firstLineChars="200"/>
        <w:rPr>
          <w:rFonts w:hint="eastAsia" w:ascii="仿宋" w:hAnsi="仿宋" w:eastAsia="仿宋"/>
          <w:bCs/>
          <w:color w:val="000000" w:themeColor="text1"/>
          <w:spacing w:val="8"/>
          <w:sz w:val="28"/>
          <w:szCs w:val="28"/>
          <w14:textFill>
            <w14:solidFill>
              <w14:schemeClr w14:val="tx1"/>
            </w14:solidFill>
          </w14:textFill>
        </w:rPr>
      </w:pPr>
      <w:r>
        <w:rPr>
          <w:rFonts w:hint="eastAsia" w:ascii="仿宋" w:hAnsi="仿宋" w:eastAsia="仿宋"/>
          <w:bCs/>
          <w:color w:val="000000" w:themeColor="text1"/>
          <w:spacing w:val="8"/>
          <w:sz w:val="28"/>
          <w:szCs w:val="28"/>
          <w14:textFill>
            <w14:solidFill>
              <w14:schemeClr w14:val="tx1"/>
            </w14:solidFill>
          </w14:textFill>
        </w:rPr>
        <w:t>（5）供应商被政府采购监管部门列入政府采购严重违法失信行为记录名单的。</w:t>
      </w:r>
    </w:p>
    <w:p>
      <w:pPr>
        <w:pStyle w:val="5"/>
        <w:keepNext w:val="0"/>
        <w:spacing w:line="400" w:lineRule="exact"/>
        <w:jc w:val="both"/>
        <w:rPr>
          <w:rFonts w:ascii="黑体" w:hAnsi="黑体" w:eastAsia="黑体"/>
          <w:color w:val="000000" w:themeColor="text1"/>
          <w:szCs w:val="28"/>
          <w14:textFill>
            <w14:solidFill>
              <w14:schemeClr w14:val="tx1"/>
            </w14:solidFill>
          </w14:textFill>
        </w:rPr>
      </w:pPr>
      <w:r>
        <w:rPr>
          <w:rFonts w:hint="eastAsia" w:ascii="黑体" w:hAnsi="黑体" w:eastAsia="黑体"/>
          <w:color w:val="000000" w:themeColor="text1"/>
          <w:szCs w:val="28"/>
          <w14:textFill>
            <w14:solidFill>
              <w14:schemeClr w14:val="tx1"/>
            </w14:solidFill>
          </w14:textFill>
        </w:rPr>
        <w:t>三、获取采购文件</w:t>
      </w:r>
      <w:bookmarkEnd w:id="11"/>
      <w:bookmarkEnd w:id="12"/>
      <w:bookmarkEnd w:id="13"/>
      <w:bookmarkEnd w:id="14"/>
    </w:p>
    <w:p>
      <w:pPr>
        <w:spacing w:line="400" w:lineRule="exact"/>
        <w:ind w:firstLine="592" w:firstLineChars="200"/>
        <w:rPr>
          <w:rFonts w:hint="eastAsia" w:ascii="仿宋" w:hAnsi="仿宋" w:eastAsia="仿宋"/>
          <w:bCs/>
          <w:color w:val="000000" w:themeColor="text1"/>
          <w:spacing w:val="8"/>
          <w:sz w:val="28"/>
          <w:szCs w:val="28"/>
          <w:lang w:val="zh-CN"/>
          <w14:textFill>
            <w14:solidFill>
              <w14:schemeClr w14:val="tx1"/>
            </w14:solidFill>
          </w14:textFill>
        </w:rPr>
      </w:pPr>
      <w:bookmarkStart w:id="15" w:name="_Toc28359093"/>
      <w:bookmarkStart w:id="16" w:name="_Toc35393633"/>
      <w:bookmarkStart w:id="17" w:name="_Toc35393802"/>
      <w:bookmarkStart w:id="18" w:name="_Toc28359016"/>
      <w:bookmarkStart w:id="19" w:name="OLE_LINK7"/>
      <w:bookmarkStart w:id="20" w:name="OLE_LINK6"/>
      <w:bookmarkStart w:id="21" w:name="OLE_LINK8"/>
      <w:r>
        <w:rPr>
          <w:rFonts w:hint="eastAsia" w:ascii="仿宋" w:hAnsi="仿宋" w:eastAsia="仿宋"/>
          <w:bCs/>
          <w:color w:val="000000" w:themeColor="text1"/>
          <w:spacing w:val="8"/>
          <w:sz w:val="28"/>
          <w:szCs w:val="28"/>
          <w:lang w:val="zh-CN"/>
          <w14:textFill>
            <w14:solidFill>
              <w14:schemeClr w14:val="tx1"/>
            </w14:solidFill>
          </w14:textFill>
        </w:rPr>
        <w:t>1.获取时间：</w:t>
      </w:r>
      <w:r>
        <w:rPr>
          <w:rFonts w:hint="eastAsia" w:ascii="仿宋" w:hAnsi="仿宋" w:eastAsia="仿宋"/>
          <w:bCs/>
          <w:color w:val="000000" w:themeColor="text1"/>
          <w:spacing w:val="8"/>
          <w:sz w:val="28"/>
          <w:szCs w:val="28"/>
          <w:highlight w:val="none"/>
          <w:lang w:val="zh-CN"/>
          <w14:textFill>
            <w14:solidFill>
              <w14:schemeClr w14:val="tx1"/>
            </w14:solidFill>
          </w14:textFill>
        </w:rPr>
        <w:t>即日起至202</w:t>
      </w:r>
      <w:r>
        <w:rPr>
          <w:rFonts w:hint="eastAsia" w:ascii="仿宋" w:hAnsi="仿宋" w:eastAsia="仿宋"/>
          <w:bCs/>
          <w:color w:val="000000" w:themeColor="text1"/>
          <w:spacing w:val="8"/>
          <w:sz w:val="28"/>
          <w:szCs w:val="28"/>
          <w:highlight w:val="none"/>
          <w:lang w:val="en-US" w:eastAsia="zh-CN"/>
          <w14:textFill>
            <w14:solidFill>
              <w14:schemeClr w14:val="tx1"/>
            </w14:solidFill>
          </w14:textFill>
        </w:rPr>
        <w:t>3</w:t>
      </w:r>
      <w:r>
        <w:rPr>
          <w:rFonts w:hint="eastAsia" w:ascii="仿宋" w:hAnsi="仿宋" w:eastAsia="仿宋"/>
          <w:bCs/>
          <w:color w:val="000000" w:themeColor="text1"/>
          <w:spacing w:val="8"/>
          <w:sz w:val="28"/>
          <w:szCs w:val="28"/>
          <w:highlight w:val="none"/>
          <w:lang w:val="zh-CN"/>
          <w14:textFill>
            <w14:solidFill>
              <w14:schemeClr w14:val="tx1"/>
            </w14:solidFill>
          </w14:textFill>
        </w:rPr>
        <w:t>年0</w:t>
      </w:r>
      <w:r>
        <w:rPr>
          <w:rFonts w:hint="eastAsia" w:ascii="仿宋" w:hAnsi="仿宋" w:eastAsia="仿宋"/>
          <w:bCs/>
          <w:color w:val="000000" w:themeColor="text1"/>
          <w:spacing w:val="8"/>
          <w:sz w:val="28"/>
          <w:szCs w:val="28"/>
          <w:highlight w:val="none"/>
          <w:lang w:val="en-US" w:eastAsia="zh-CN"/>
          <w14:textFill>
            <w14:solidFill>
              <w14:schemeClr w14:val="tx1"/>
            </w14:solidFill>
          </w14:textFill>
        </w:rPr>
        <w:t>4</w:t>
      </w:r>
      <w:r>
        <w:rPr>
          <w:rFonts w:hint="eastAsia" w:ascii="仿宋" w:hAnsi="仿宋" w:eastAsia="仿宋"/>
          <w:bCs/>
          <w:color w:val="000000" w:themeColor="text1"/>
          <w:spacing w:val="8"/>
          <w:sz w:val="28"/>
          <w:szCs w:val="28"/>
          <w:highlight w:val="none"/>
          <w:lang w:val="zh-CN"/>
          <w14:textFill>
            <w14:solidFill>
              <w14:schemeClr w14:val="tx1"/>
            </w14:solidFill>
          </w14:textFill>
        </w:rPr>
        <w:t>月</w:t>
      </w:r>
      <w:r>
        <w:rPr>
          <w:rFonts w:hint="eastAsia" w:ascii="仿宋" w:hAnsi="仿宋" w:eastAsia="仿宋"/>
          <w:bCs/>
          <w:color w:val="000000" w:themeColor="text1"/>
          <w:spacing w:val="8"/>
          <w:sz w:val="28"/>
          <w:szCs w:val="28"/>
          <w:highlight w:val="none"/>
          <w:lang w:val="en-US" w:eastAsia="zh-CN"/>
          <w14:textFill>
            <w14:solidFill>
              <w14:schemeClr w14:val="tx1"/>
            </w14:solidFill>
          </w14:textFill>
        </w:rPr>
        <w:t>18</w:t>
      </w:r>
      <w:r>
        <w:rPr>
          <w:rFonts w:hint="eastAsia" w:ascii="仿宋" w:hAnsi="仿宋" w:eastAsia="仿宋"/>
          <w:bCs/>
          <w:color w:val="000000" w:themeColor="text1"/>
          <w:spacing w:val="8"/>
          <w:sz w:val="28"/>
          <w:szCs w:val="28"/>
          <w:highlight w:val="none"/>
          <w:lang w:val="zh-CN"/>
          <w14:textFill>
            <w14:solidFill>
              <w14:schemeClr w14:val="tx1"/>
            </w14:solidFill>
          </w14:textFill>
        </w:rPr>
        <w:t>日17时</w:t>
      </w:r>
      <w:r>
        <w:rPr>
          <w:rFonts w:hint="eastAsia" w:ascii="仿宋" w:hAnsi="仿宋" w:eastAsia="仿宋"/>
          <w:bCs/>
          <w:color w:val="000000" w:themeColor="text1"/>
          <w:spacing w:val="8"/>
          <w:sz w:val="28"/>
          <w:szCs w:val="28"/>
          <w:highlight w:val="none"/>
          <w:lang w:val="en-US" w:eastAsia="zh-CN"/>
          <w14:textFill>
            <w14:solidFill>
              <w14:schemeClr w14:val="tx1"/>
            </w14:solidFill>
          </w14:textFill>
        </w:rPr>
        <w:t>0</w:t>
      </w:r>
      <w:r>
        <w:rPr>
          <w:rFonts w:hint="eastAsia" w:ascii="仿宋" w:hAnsi="仿宋" w:eastAsia="仿宋"/>
          <w:bCs/>
          <w:color w:val="000000" w:themeColor="text1"/>
          <w:spacing w:val="8"/>
          <w:sz w:val="28"/>
          <w:szCs w:val="28"/>
          <w:highlight w:val="none"/>
          <w:lang w:val="zh-CN"/>
          <w14:textFill>
            <w14:solidFill>
              <w14:schemeClr w14:val="tx1"/>
            </w14:solidFill>
          </w14:textFill>
        </w:rPr>
        <w:t>0分</w:t>
      </w:r>
    </w:p>
    <w:p>
      <w:pPr>
        <w:keepNext w:val="0"/>
        <w:keepLines w:val="0"/>
        <w:pageBreakBefore w:val="0"/>
        <w:widowControl w:val="0"/>
        <w:kinsoku/>
        <w:wordWrap/>
        <w:overflowPunct/>
        <w:topLinePunct w:val="0"/>
        <w:autoSpaceDE/>
        <w:autoSpaceDN/>
        <w:bidi w:val="0"/>
        <w:adjustRightInd/>
        <w:snapToGrid/>
        <w:spacing w:line="480" w:lineRule="exact"/>
        <w:ind w:firstLine="592" w:firstLineChars="200"/>
        <w:textAlignment w:val="auto"/>
        <w:rPr>
          <w:rFonts w:hint="eastAsia" w:ascii="仿宋" w:hAnsi="仿宋" w:eastAsia="仿宋" w:cs="仿宋"/>
          <w:sz w:val="28"/>
          <w:szCs w:val="28"/>
          <w:highlight w:val="none"/>
          <w:u w:val="none"/>
        </w:rPr>
      </w:pPr>
      <w:r>
        <w:rPr>
          <w:rFonts w:hint="eastAsia" w:ascii="仿宋" w:hAnsi="仿宋" w:eastAsia="仿宋"/>
          <w:bCs/>
          <w:color w:val="000000" w:themeColor="text1"/>
          <w:spacing w:val="8"/>
          <w:sz w:val="28"/>
          <w:szCs w:val="28"/>
          <w:lang w:val="zh-CN"/>
          <w14:textFill>
            <w14:solidFill>
              <w14:schemeClr w14:val="tx1"/>
            </w14:solidFill>
          </w14:textFill>
        </w:rPr>
        <w:t>2.</w:t>
      </w:r>
      <w:r>
        <w:rPr>
          <w:rFonts w:hint="eastAsia" w:ascii="仿宋" w:hAnsi="仿宋" w:eastAsia="仿宋" w:cs="仿宋"/>
          <w:sz w:val="28"/>
          <w:szCs w:val="28"/>
          <w:highlight w:val="none"/>
          <w:u w:val="none"/>
        </w:rPr>
        <w:t>领取方式：电子发送</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cs="仿宋"/>
          <w:sz w:val="28"/>
          <w:szCs w:val="28"/>
          <w:highlight w:val="none"/>
          <w:u w:val="none"/>
          <w:lang w:val="en-US" w:eastAsia="zh-CN"/>
        </w:rPr>
      </w:pPr>
      <w:r>
        <w:rPr>
          <w:rFonts w:hint="eastAsia" w:ascii="仿宋" w:hAnsi="仿宋" w:eastAsia="仿宋" w:cs="仿宋"/>
          <w:sz w:val="28"/>
          <w:szCs w:val="28"/>
          <w:highlight w:val="none"/>
          <w:u w:val="none"/>
          <w:lang w:val="en-US" w:eastAsia="zh-CN"/>
        </w:rPr>
        <w:t>（1）</w:t>
      </w:r>
      <w:r>
        <w:rPr>
          <w:rFonts w:hint="eastAsia" w:ascii="仿宋" w:hAnsi="仿宋" w:eastAsia="仿宋" w:cs="宋体"/>
          <w:color w:val="000000" w:themeColor="text1"/>
          <w:sz w:val="28"/>
          <w:szCs w:val="28"/>
          <w14:textFill>
            <w14:solidFill>
              <w14:schemeClr w14:val="tx1"/>
            </w14:solidFill>
          </w14:textFill>
        </w:rPr>
        <w:t>池州市贵池区清溪街道清溪社区（凤凰井路西</w:t>
      </w:r>
      <w:r>
        <w:rPr>
          <w:rFonts w:hint="eastAsia" w:ascii="仿宋" w:hAnsi="仿宋" w:eastAsia="仿宋" w:cs="宋体"/>
          <w:color w:val="auto"/>
          <w:sz w:val="28"/>
          <w:szCs w:val="28"/>
          <w:lang w:eastAsia="zh-CN"/>
        </w:rPr>
        <w:t>端</w:t>
      </w:r>
      <w:r>
        <w:rPr>
          <w:rFonts w:hint="eastAsia" w:ascii="仿宋" w:hAnsi="仿宋" w:eastAsia="仿宋" w:cs="宋体"/>
          <w:color w:val="auto"/>
          <w:sz w:val="28"/>
          <w:szCs w:val="28"/>
        </w:rPr>
        <w:t>）</w:t>
      </w:r>
      <w:r>
        <w:rPr>
          <w:rFonts w:hint="eastAsia" w:ascii="仿宋" w:hAnsi="仿宋" w:eastAsia="仿宋" w:cs="仿宋"/>
          <w:sz w:val="28"/>
          <w:szCs w:val="28"/>
          <w:highlight w:val="none"/>
          <w:u w:val="none"/>
          <w:lang w:val="en-US" w:eastAsia="zh-CN"/>
        </w:rPr>
        <w:t>（2）报名时须出示：加盖单位公章的单位介绍信原件（留联系人姓名、电话号码及邮箱号码）、个人有效身份证件，企业营业执照。</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仿宋" w:hAnsi="仿宋" w:eastAsia="仿宋"/>
          <w:bCs/>
          <w:color w:val="000000" w:themeColor="text1"/>
          <w:spacing w:val="8"/>
          <w:sz w:val="28"/>
          <w:szCs w:val="28"/>
          <w:lang w:val="zh-CN"/>
          <w14:textFill>
            <w14:solidFill>
              <w14:schemeClr w14:val="tx1"/>
            </w14:solidFill>
          </w14:textFill>
        </w:rPr>
      </w:pPr>
      <w:r>
        <w:rPr>
          <w:rFonts w:hint="eastAsia" w:ascii="仿宋" w:hAnsi="仿宋" w:eastAsia="仿宋" w:cs="仿宋"/>
          <w:sz w:val="28"/>
          <w:szCs w:val="28"/>
          <w:highlight w:val="none"/>
          <w:u w:val="none"/>
          <w:lang w:val="en-US" w:eastAsia="zh-CN"/>
        </w:rPr>
        <w:t>注：1.以上资料复印件加盖单位红色公章；2.身份证上的姓名须与单位介绍信上的报名人相符；</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u w:val="none"/>
          <w:lang w:val="en-US" w:eastAsia="zh-CN"/>
        </w:rPr>
        <w:t>本项目实行资格后审。采购单位不作资格性审查，供应商在投标时因资格未通过审查而废标的由供应商自行负责。</w:t>
      </w:r>
    </w:p>
    <w:p>
      <w:pPr>
        <w:spacing w:line="400" w:lineRule="exact"/>
        <w:rPr>
          <w:rFonts w:ascii="黑体" w:hAnsi="黑体" w:eastAsia="黑体" w:cs="宋体"/>
          <w:bCs/>
          <w:color w:val="000000" w:themeColor="text1"/>
          <w:sz w:val="28"/>
          <w:szCs w:val="28"/>
          <w:lang w:val="zh-CN"/>
          <w14:textFill>
            <w14:solidFill>
              <w14:schemeClr w14:val="tx1"/>
            </w14:solidFill>
          </w14:textFill>
        </w:rPr>
      </w:pPr>
      <w:r>
        <w:rPr>
          <w:rFonts w:hint="eastAsia" w:ascii="黑体" w:hAnsi="黑体" w:eastAsia="黑体" w:cs="宋体"/>
          <w:color w:val="000000" w:themeColor="text1"/>
          <w:sz w:val="28"/>
          <w:szCs w:val="28"/>
          <w:lang w:val="zh-CN"/>
          <w14:textFill>
            <w14:solidFill>
              <w14:schemeClr w14:val="tx1"/>
            </w14:solidFill>
          </w14:textFill>
        </w:rPr>
        <w:t>五、开启</w:t>
      </w:r>
      <w:bookmarkEnd w:id="15"/>
      <w:bookmarkEnd w:id="16"/>
      <w:bookmarkEnd w:id="17"/>
      <w:bookmarkEnd w:id="18"/>
    </w:p>
    <w:p>
      <w:pPr>
        <w:spacing w:line="400" w:lineRule="exact"/>
        <w:ind w:firstLine="560" w:firstLineChars="200"/>
        <w:rPr>
          <w:rFonts w:ascii="仿宋" w:hAnsi="仿宋" w:eastAsia="仿宋"/>
          <w:bCs/>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时间：</w:t>
      </w:r>
      <w:r>
        <w:rPr>
          <w:rFonts w:hint="eastAsia" w:ascii="仿宋" w:hAnsi="仿宋" w:eastAsia="仿宋"/>
          <w:color w:val="000000" w:themeColor="text1"/>
          <w:sz w:val="28"/>
          <w:szCs w:val="28"/>
          <w:highlight w:val="none"/>
          <w:lang w:val="en-US" w:eastAsia="zh-CN"/>
          <w14:textFill>
            <w14:solidFill>
              <w14:schemeClr w14:val="tx1"/>
            </w14:solidFill>
          </w14:textFill>
        </w:rPr>
        <w:t>2023</w:t>
      </w:r>
      <w:r>
        <w:rPr>
          <w:rFonts w:hint="eastAsia" w:ascii="仿宋" w:hAnsi="仿宋" w:eastAsia="仿宋"/>
          <w:bCs/>
          <w:color w:val="000000" w:themeColor="text1"/>
          <w:sz w:val="28"/>
          <w:szCs w:val="28"/>
          <w:highlight w:val="none"/>
          <w14:textFill>
            <w14:solidFill>
              <w14:schemeClr w14:val="tx1"/>
            </w14:solidFill>
          </w14:textFill>
        </w:rPr>
        <w:t>年</w:t>
      </w:r>
      <w:r>
        <w:rPr>
          <w:rFonts w:hint="eastAsia" w:ascii="仿宋" w:hAnsi="仿宋" w:eastAsia="仿宋"/>
          <w:bCs/>
          <w:color w:val="000000" w:themeColor="text1"/>
          <w:sz w:val="28"/>
          <w:szCs w:val="28"/>
          <w:highlight w:val="none"/>
          <w:lang w:val="en-US" w:eastAsia="zh-CN"/>
          <w14:textFill>
            <w14:solidFill>
              <w14:schemeClr w14:val="tx1"/>
            </w14:solidFill>
          </w14:textFill>
        </w:rPr>
        <w:t>04</w:t>
      </w:r>
      <w:r>
        <w:rPr>
          <w:rFonts w:hint="eastAsia" w:ascii="仿宋" w:hAnsi="仿宋" w:eastAsia="仿宋"/>
          <w:bCs/>
          <w:color w:val="000000" w:themeColor="text1"/>
          <w:sz w:val="28"/>
          <w:szCs w:val="28"/>
          <w:highlight w:val="none"/>
          <w14:textFill>
            <w14:solidFill>
              <w14:schemeClr w14:val="tx1"/>
            </w14:solidFill>
          </w14:textFill>
        </w:rPr>
        <w:t>月</w:t>
      </w:r>
      <w:r>
        <w:rPr>
          <w:rFonts w:hint="eastAsia" w:ascii="仿宋" w:hAnsi="仿宋" w:eastAsia="仿宋"/>
          <w:bCs/>
          <w:color w:val="000000" w:themeColor="text1"/>
          <w:sz w:val="28"/>
          <w:szCs w:val="28"/>
          <w:highlight w:val="none"/>
          <w:lang w:val="en-US" w:eastAsia="zh-CN"/>
          <w14:textFill>
            <w14:solidFill>
              <w14:schemeClr w14:val="tx1"/>
            </w14:solidFill>
          </w14:textFill>
        </w:rPr>
        <w:t>19</w:t>
      </w:r>
      <w:r>
        <w:rPr>
          <w:rFonts w:hint="eastAsia" w:ascii="仿宋" w:hAnsi="仿宋" w:eastAsia="仿宋"/>
          <w:bCs/>
          <w:color w:val="000000" w:themeColor="text1"/>
          <w:sz w:val="28"/>
          <w:szCs w:val="28"/>
          <w:highlight w:val="none"/>
          <w14:textFill>
            <w14:solidFill>
              <w14:schemeClr w14:val="tx1"/>
            </w14:solidFill>
          </w14:textFill>
        </w:rPr>
        <w:t>日</w:t>
      </w:r>
      <w:r>
        <w:rPr>
          <w:rFonts w:hint="eastAsia" w:ascii="仿宋" w:hAnsi="仿宋" w:eastAsia="仿宋"/>
          <w:bCs/>
          <w:color w:val="000000" w:themeColor="text1"/>
          <w:sz w:val="28"/>
          <w:szCs w:val="28"/>
          <w:highlight w:val="none"/>
          <w:lang w:val="en-US" w:eastAsia="zh-CN"/>
          <w14:textFill>
            <w14:solidFill>
              <w14:schemeClr w14:val="tx1"/>
            </w14:solidFill>
          </w14:textFill>
        </w:rPr>
        <w:t>10</w:t>
      </w:r>
      <w:r>
        <w:rPr>
          <w:rFonts w:hint="eastAsia" w:ascii="仿宋" w:hAnsi="仿宋" w:eastAsia="仿宋"/>
          <w:bCs/>
          <w:color w:val="000000" w:themeColor="text1"/>
          <w:sz w:val="28"/>
          <w:szCs w:val="28"/>
          <w:highlight w:val="none"/>
          <w14:textFill>
            <w14:solidFill>
              <w14:schemeClr w14:val="tx1"/>
            </w14:solidFill>
          </w14:textFill>
        </w:rPr>
        <w:t>点</w:t>
      </w:r>
      <w:r>
        <w:rPr>
          <w:rFonts w:hint="eastAsia" w:ascii="仿宋" w:hAnsi="仿宋" w:eastAsia="仿宋"/>
          <w:bCs/>
          <w:color w:val="000000" w:themeColor="text1"/>
          <w:sz w:val="28"/>
          <w:szCs w:val="28"/>
          <w:highlight w:val="none"/>
          <w:lang w:val="en-US" w:eastAsia="zh-CN"/>
          <w14:textFill>
            <w14:solidFill>
              <w14:schemeClr w14:val="tx1"/>
            </w14:solidFill>
          </w14:textFill>
        </w:rPr>
        <w:t>00</w:t>
      </w:r>
      <w:r>
        <w:rPr>
          <w:rFonts w:hint="eastAsia" w:ascii="仿宋" w:hAnsi="仿宋" w:eastAsia="仿宋"/>
          <w:bCs/>
          <w:color w:val="000000" w:themeColor="text1"/>
          <w:sz w:val="28"/>
          <w:szCs w:val="28"/>
          <w:highlight w:val="none"/>
          <w14:textFill>
            <w14:solidFill>
              <w14:schemeClr w14:val="tx1"/>
            </w14:solidFill>
          </w14:textFill>
        </w:rPr>
        <w:t>分（</w:t>
      </w:r>
      <w:r>
        <w:rPr>
          <w:rFonts w:hint="eastAsia" w:ascii="仿宋" w:hAnsi="仿宋" w:eastAsia="仿宋"/>
          <w:bCs/>
          <w:color w:val="000000" w:themeColor="text1"/>
          <w:sz w:val="28"/>
          <w:szCs w:val="28"/>
          <w14:textFill>
            <w14:solidFill>
              <w14:schemeClr w14:val="tx1"/>
            </w14:solidFill>
          </w14:textFill>
        </w:rPr>
        <w:t>北京时间）</w:t>
      </w:r>
    </w:p>
    <w:p>
      <w:pPr>
        <w:spacing w:line="400" w:lineRule="exact"/>
        <w:ind w:firstLine="560" w:firstLineChars="200"/>
        <w:rPr>
          <w:rFonts w:ascii="仿宋" w:hAnsi="仿宋" w:eastAsia="仿宋"/>
          <w:bCs/>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地点：</w:t>
      </w:r>
      <w:r>
        <w:rPr>
          <w:rFonts w:hint="eastAsia" w:ascii="仿宋" w:hAnsi="仿宋" w:eastAsia="仿宋" w:cs="宋体"/>
          <w:color w:val="000000" w:themeColor="text1"/>
          <w:sz w:val="28"/>
          <w:szCs w:val="28"/>
          <w14:textFill>
            <w14:solidFill>
              <w14:schemeClr w14:val="tx1"/>
            </w14:solidFill>
          </w14:textFill>
        </w:rPr>
        <w:t>池州市贵池区清溪街道清溪社区（凤凰井路西</w:t>
      </w:r>
      <w:r>
        <w:rPr>
          <w:rFonts w:hint="eastAsia" w:ascii="仿宋" w:hAnsi="仿宋" w:eastAsia="仿宋" w:cs="宋体"/>
          <w:color w:val="auto"/>
          <w:sz w:val="28"/>
          <w:szCs w:val="28"/>
          <w:lang w:eastAsia="zh-CN"/>
        </w:rPr>
        <w:t>端</w:t>
      </w:r>
      <w:r>
        <w:rPr>
          <w:rFonts w:hint="eastAsia" w:ascii="仿宋" w:hAnsi="仿宋" w:eastAsia="仿宋" w:cs="宋体"/>
          <w:color w:val="auto"/>
          <w:sz w:val="28"/>
          <w:szCs w:val="28"/>
        </w:rPr>
        <w:t>）</w:t>
      </w:r>
    </w:p>
    <w:p>
      <w:pPr>
        <w:spacing w:line="400" w:lineRule="exact"/>
        <w:ind w:right="-334" w:firstLine="70" w:firstLineChars="25"/>
        <w:outlineLvl w:val="1"/>
        <w:rPr>
          <w:rFonts w:ascii="黑体" w:hAnsi="黑体" w:eastAsia="黑体" w:cs="宋体"/>
          <w:bCs/>
          <w:color w:val="000000" w:themeColor="text1"/>
          <w:sz w:val="28"/>
          <w:szCs w:val="28"/>
          <w:lang w:val="zh-CN"/>
          <w14:textFill>
            <w14:solidFill>
              <w14:schemeClr w14:val="tx1"/>
            </w14:solidFill>
          </w14:textFill>
        </w:rPr>
      </w:pPr>
      <w:bookmarkStart w:id="22" w:name="_Toc28359094"/>
      <w:bookmarkStart w:id="23" w:name="_Toc35393803"/>
      <w:bookmarkStart w:id="24" w:name="_Toc35393634"/>
      <w:bookmarkStart w:id="25" w:name="_Toc28359017"/>
      <w:r>
        <w:rPr>
          <w:rFonts w:hint="eastAsia" w:ascii="黑体" w:hAnsi="黑体" w:eastAsia="黑体" w:cs="宋体"/>
          <w:color w:val="000000" w:themeColor="text1"/>
          <w:sz w:val="28"/>
          <w:szCs w:val="28"/>
          <w:lang w:val="zh-CN"/>
          <w14:textFill>
            <w14:solidFill>
              <w14:schemeClr w14:val="tx1"/>
            </w14:solidFill>
          </w14:textFill>
        </w:rPr>
        <w:t>六、公告期限</w:t>
      </w:r>
      <w:bookmarkEnd w:id="22"/>
      <w:bookmarkEnd w:id="23"/>
      <w:bookmarkEnd w:id="24"/>
      <w:bookmarkEnd w:id="25"/>
    </w:p>
    <w:p>
      <w:pPr>
        <w:spacing w:line="400" w:lineRule="exact"/>
        <w:ind w:firstLine="560" w:firstLineChars="200"/>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自本公告发布之日起</w:t>
      </w:r>
      <w:r>
        <w:rPr>
          <w:rFonts w:hint="eastAsia" w:ascii="仿宋" w:hAnsi="仿宋" w:eastAsia="仿宋" w:cs="宋体"/>
          <w:color w:val="000000" w:themeColor="text1"/>
          <w:kern w:val="0"/>
          <w:sz w:val="28"/>
          <w:szCs w:val="28"/>
          <w:lang w:val="en-US" w:eastAsia="zh-CN"/>
          <w14:textFill>
            <w14:solidFill>
              <w14:schemeClr w14:val="tx1"/>
            </w14:solidFill>
          </w14:textFill>
        </w:rPr>
        <w:t>10个日历</w:t>
      </w:r>
      <w:r>
        <w:rPr>
          <w:rFonts w:hint="eastAsia" w:ascii="仿宋" w:hAnsi="仿宋" w:eastAsia="仿宋" w:cs="宋体"/>
          <w:color w:val="000000" w:themeColor="text1"/>
          <w:kern w:val="0"/>
          <w:sz w:val="28"/>
          <w:szCs w:val="28"/>
          <w14:textFill>
            <w14:solidFill>
              <w14:schemeClr w14:val="tx1"/>
            </w14:solidFill>
          </w14:textFill>
        </w:rPr>
        <w:t>日。</w:t>
      </w:r>
    </w:p>
    <w:p>
      <w:pPr>
        <w:spacing w:line="400" w:lineRule="exact"/>
        <w:ind w:right="-334" w:firstLine="70" w:firstLineChars="25"/>
        <w:outlineLvl w:val="1"/>
        <w:rPr>
          <w:rFonts w:hint="eastAsia" w:ascii="黑体" w:hAnsi="黑体" w:eastAsia="黑体" w:cs="宋体"/>
          <w:color w:val="000000" w:themeColor="text1"/>
          <w:sz w:val="28"/>
          <w:szCs w:val="28"/>
          <w:lang w:val="zh-CN"/>
          <w14:textFill>
            <w14:solidFill>
              <w14:schemeClr w14:val="tx1"/>
            </w14:solidFill>
          </w14:textFill>
        </w:rPr>
      </w:pPr>
      <w:bookmarkStart w:id="26" w:name="_Toc35393635"/>
      <w:bookmarkStart w:id="27" w:name="_Toc35393804"/>
      <w:r>
        <w:rPr>
          <w:rFonts w:hint="eastAsia" w:ascii="黑体" w:hAnsi="黑体" w:eastAsia="黑体" w:cs="宋体"/>
          <w:color w:val="000000" w:themeColor="text1"/>
          <w:sz w:val="28"/>
          <w:szCs w:val="28"/>
          <w:lang w:val="zh-CN"/>
          <w14:textFill>
            <w14:solidFill>
              <w14:schemeClr w14:val="tx1"/>
            </w14:solidFill>
          </w14:textFill>
        </w:rPr>
        <w:t>七、</w:t>
      </w:r>
      <w:bookmarkEnd w:id="19"/>
      <w:bookmarkEnd w:id="20"/>
      <w:bookmarkEnd w:id="21"/>
      <w:bookmarkEnd w:id="26"/>
      <w:bookmarkEnd w:id="27"/>
      <w:bookmarkStart w:id="28" w:name="_Toc28359018"/>
      <w:bookmarkStart w:id="29" w:name="_Toc35393805"/>
      <w:bookmarkStart w:id="30" w:name="_Toc28359095"/>
      <w:bookmarkStart w:id="31" w:name="_Toc35393636"/>
      <w:r>
        <w:rPr>
          <w:rFonts w:hint="eastAsia" w:ascii="黑体" w:hAnsi="黑体" w:eastAsia="黑体" w:cs="宋体"/>
          <w:color w:val="000000" w:themeColor="text1"/>
          <w:sz w:val="28"/>
          <w:szCs w:val="28"/>
          <w:lang w:val="zh-CN"/>
          <w14:textFill>
            <w14:solidFill>
              <w14:schemeClr w14:val="tx1"/>
            </w14:solidFill>
          </w14:textFill>
        </w:rPr>
        <w:t>、凡对本次采购提出询问，请按以下方式联系</w:t>
      </w:r>
      <w:bookmarkEnd w:id="28"/>
      <w:bookmarkEnd w:id="29"/>
      <w:bookmarkEnd w:id="30"/>
      <w:bookmarkEnd w:id="31"/>
      <w:r>
        <w:rPr>
          <w:rFonts w:hint="eastAsia" w:ascii="黑体" w:hAnsi="黑体" w:eastAsia="黑体" w:cs="宋体"/>
          <w:color w:val="000000" w:themeColor="text1"/>
          <w:sz w:val="28"/>
          <w:szCs w:val="28"/>
          <w:lang w:val="zh-CN"/>
          <w14:textFill>
            <w14:solidFill>
              <w14:schemeClr w14:val="tx1"/>
            </w14:solidFill>
          </w14:textFill>
        </w:rPr>
        <w:t>。</w:t>
      </w:r>
    </w:p>
    <w:p>
      <w:pPr>
        <w:spacing w:line="400" w:lineRule="exact"/>
        <w:ind w:firstLine="560" w:firstLineChars="200"/>
        <w:jc w:val="left"/>
        <w:rPr>
          <w:rFonts w:hint="eastAsia"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采购人信息</w:t>
      </w:r>
    </w:p>
    <w:p>
      <w:pPr>
        <w:spacing w:line="400" w:lineRule="exact"/>
        <w:ind w:firstLine="560" w:firstLineChars="200"/>
        <w:jc w:val="left"/>
        <w:rPr>
          <w:rFonts w:hint="eastAsia"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名 称：池州市第三人民医院</w:t>
      </w:r>
    </w:p>
    <w:p>
      <w:pPr>
        <w:spacing w:line="400" w:lineRule="exact"/>
        <w:ind w:firstLine="560" w:firstLineChars="200"/>
        <w:jc w:val="left"/>
        <w:rPr>
          <w:rFonts w:hint="eastAsia"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地址：池州市贵池区清溪街道清溪社区（凤凰井路西</w:t>
      </w:r>
      <w:r>
        <w:rPr>
          <w:rFonts w:hint="eastAsia" w:ascii="仿宋" w:hAnsi="仿宋" w:eastAsia="仿宋" w:cs="宋体"/>
          <w:color w:val="auto"/>
          <w:sz w:val="28"/>
          <w:szCs w:val="28"/>
          <w:lang w:eastAsia="zh-CN"/>
        </w:rPr>
        <w:t>端</w:t>
      </w:r>
      <w:r>
        <w:rPr>
          <w:rFonts w:hint="eastAsia" w:ascii="仿宋" w:hAnsi="仿宋" w:eastAsia="仿宋" w:cs="宋体"/>
          <w:color w:val="auto"/>
          <w:sz w:val="28"/>
          <w:szCs w:val="28"/>
        </w:rPr>
        <w:t>）</w:t>
      </w:r>
    </w:p>
    <w:p>
      <w:pPr>
        <w:spacing w:line="400" w:lineRule="exact"/>
        <w:ind w:firstLine="560" w:firstLineChars="200"/>
        <w:jc w:val="left"/>
        <w:rPr>
          <w:rFonts w:hint="default" w:ascii="仿宋" w:hAnsi="仿宋" w:eastAsia="仿宋" w:cs="宋体"/>
          <w:color w:val="000000" w:themeColor="text1"/>
          <w:sz w:val="28"/>
          <w:szCs w:val="28"/>
          <w:lang w:val="en-US" w:eastAsia="zh-CN"/>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联系方式：</w:t>
      </w:r>
      <w:r>
        <w:rPr>
          <w:rFonts w:hint="eastAsia" w:ascii="仿宋" w:hAnsi="仿宋" w:eastAsia="仿宋" w:cs="宋体"/>
          <w:color w:val="000000" w:themeColor="text1"/>
          <w:sz w:val="28"/>
          <w:szCs w:val="28"/>
          <w:lang w:val="en-US" w:eastAsia="zh-CN"/>
          <w14:textFill>
            <w14:solidFill>
              <w14:schemeClr w14:val="tx1"/>
            </w14:solidFill>
          </w14:textFill>
        </w:rPr>
        <w:t>05663386110</w:t>
      </w:r>
    </w:p>
    <w:p>
      <w:pPr>
        <w:rPr>
          <w:rFonts w:hint="eastAsia" w:ascii="华文中宋" w:hAnsi="华文中宋" w:eastAsia="华文中宋"/>
          <w:b w:val="0"/>
        </w:rPr>
      </w:pPr>
      <w:r>
        <w:rPr>
          <w:rFonts w:hint="eastAsia" w:ascii="华文中宋" w:hAnsi="华文中宋" w:eastAsia="华文中宋"/>
          <w:b w:val="0"/>
        </w:rPr>
        <w:br w:type="page"/>
      </w:r>
    </w:p>
    <w:p>
      <w:pPr>
        <w:pStyle w:val="4"/>
        <w:rPr>
          <w:rFonts w:ascii="华文中宋" w:hAnsi="华文中宋" w:eastAsia="华文中宋"/>
          <w:b w:val="0"/>
        </w:rPr>
      </w:pPr>
      <w:bookmarkStart w:id="32" w:name="_Toc4783"/>
      <w:r>
        <w:rPr>
          <w:rFonts w:hint="eastAsia" w:ascii="华文中宋" w:hAnsi="华文中宋" w:eastAsia="华文中宋"/>
          <w:b w:val="0"/>
        </w:rPr>
        <w:t>第二章 供应商须知前附表</w:t>
      </w:r>
      <w:bookmarkEnd w:id="32"/>
    </w:p>
    <w:p>
      <w:pPr>
        <w:adjustRightInd w:val="0"/>
        <w:snapToGrid w:val="0"/>
        <w:spacing w:line="360" w:lineRule="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注意事项：本章是对第五章“供应商须知”具体补充和修改，如有不一致的，应以本前附表为准。</w:t>
      </w:r>
    </w:p>
    <w:tbl>
      <w:tblPr>
        <w:tblStyle w:val="37"/>
        <w:tblW w:w="9585"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21"/>
        <w:gridCol w:w="2456"/>
        <w:gridCol w:w="6208"/>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84" w:hRule="atLeast"/>
          <w:tblHeader/>
          <w:jc w:val="center"/>
        </w:trPr>
        <w:tc>
          <w:tcPr>
            <w:tcW w:w="921" w:type="dxa"/>
            <w:tcBorders>
              <w:top w:val="single" w:color="auto" w:sz="12" w:space="0"/>
              <w:left w:val="single" w:color="auto" w:sz="12" w:space="0"/>
              <w:bottom w:val="single" w:color="auto" w:sz="6" w:space="0"/>
              <w:right w:val="single" w:color="auto" w:sz="6" w:space="0"/>
            </w:tcBorders>
            <w:vAlign w:val="center"/>
          </w:tcPr>
          <w:p>
            <w:pPr>
              <w:spacing w:line="400" w:lineRule="exac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条款号</w:t>
            </w:r>
          </w:p>
        </w:tc>
        <w:tc>
          <w:tcPr>
            <w:tcW w:w="2456" w:type="dxa"/>
            <w:tcBorders>
              <w:top w:val="single" w:color="auto" w:sz="12" w:space="0"/>
              <w:left w:val="single" w:color="auto" w:sz="6" w:space="0"/>
              <w:bottom w:val="single" w:color="auto" w:sz="6" w:space="0"/>
              <w:right w:val="single" w:color="auto" w:sz="6" w:space="0"/>
            </w:tcBorders>
            <w:vAlign w:val="center"/>
          </w:tcPr>
          <w:p>
            <w:pPr>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条款内容</w:t>
            </w:r>
          </w:p>
        </w:tc>
        <w:tc>
          <w:tcPr>
            <w:tcW w:w="6208" w:type="dxa"/>
            <w:tcBorders>
              <w:top w:val="single" w:color="auto" w:sz="12" w:space="0"/>
              <w:left w:val="single" w:color="auto" w:sz="6" w:space="0"/>
              <w:bottom w:val="single" w:color="auto" w:sz="6" w:space="0"/>
              <w:right w:val="single" w:color="auto" w:sz="12" w:space="0"/>
            </w:tcBorders>
            <w:vAlign w:val="center"/>
          </w:tcPr>
          <w:p>
            <w:pPr>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内容、说明与要求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67"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3.1</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采购人</w:t>
            </w:r>
          </w:p>
        </w:tc>
        <w:tc>
          <w:tcPr>
            <w:tcW w:w="6208" w:type="dxa"/>
            <w:tcBorders>
              <w:top w:val="single" w:color="auto" w:sz="6" w:space="0"/>
              <w:left w:val="single" w:color="auto" w:sz="6" w:space="0"/>
              <w:bottom w:val="single" w:color="auto" w:sz="6" w:space="0"/>
              <w:right w:val="single" w:color="auto" w:sz="12" w:space="0"/>
            </w:tcBorders>
            <w:vAlign w:val="center"/>
          </w:tcPr>
          <w:p>
            <w:pPr>
              <w:widowControl/>
              <w:spacing w:line="560" w:lineRule="atLeast"/>
              <w:ind w:firstLine="592"/>
              <w:jc w:val="center"/>
              <w:rPr>
                <w:rFonts w:hint="eastAsia" w:ascii="仿宋" w:hAnsi="仿宋" w:eastAsia="仿宋"/>
                <w:color w:val="000000" w:themeColor="text1"/>
                <w:spacing w:val="8"/>
                <w:kern w:val="0"/>
                <w:sz w:val="28"/>
                <w:szCs w:val="28"/>
                <w:u w:val="single"/>
                <w:lang w:eastAsia="zh-CN"/>
                <w14:textFill>
                  <w14:solidFill>
                    <w14:schemeClr w14:val="tx1"/>
                  </w14:solidFill>
                </w14:textFill>
              </w:rPr>
            </w:pPr>
            <w:r>
              <w:rPr>
                <w:rFonts w:hint="eastAsia" w:ascii="仿宋" w:hAnsi="仿宋" w:eastAsia="仿宋" w:cs="宋体"/>
                <w:color w:val="000000" w:themeColor="text1"/>
                <w:sz w:val="28"/>
                <w:szCs w:val="28"/>
                <w:lang w:eastAsia="zh-CN"/>
                <w14:textFill>
                  <w14:solidFill>
                    <w14:schemeClr w14:val="tx1"/>
                  </w14:solidFill>
                </w14:textFill>
              </w:rPr>
              <w:t>池州市第三人民医院</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7.3</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现场考察</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sym w:font="Wingdings" w:char="00FE"/>
            </w:r>
            <w:r>
              <w:rPr>
                <w:rFonts w:hint="eastAsia" w:ascii="仿宋" w:hAnsi="仿宋" w:eastAsia="仿宋"/>
                <w:color w:val="000000" w:themeColor="text1"/>
                <w:sz w:val="28"/>
                <w:szCs w:val="28"/>
                <w14:textFill>
                  <w14:solidFill>
                    <w14:schemeClr w14:val="tx1"/>
                  </w14:solidFill>
                </w14:textFill>
              </w:rPr>
              <w:t>不组织，供应商自行考察</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□统一组织</w:t>
            </w:r>
          </w:p>
          <w:p>
            <w:pPr>
              <w:adjustRightInd w:val="0"/>
              <w:snapToGrid w:val="0"/>
              <w:spacing w:line="400" w:lineRule="exact"/>
              <w:ind w:firstLine="560" w:firstLineChars="200"/>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时间：</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时</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分</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地点：</w:t>
            </w:r>
            <w:r>
              <w:rPr>
                <w:rFonts w:hint="eastAsia" w:ascii="仿宋" w:hAnsi="仿宋" w:eastAsia="仿宋"/>
                <w:color w:val="000000" w:themeColor="text1"/>
                <w:sz w:val="28"/>
                <w:szCs w:val="28"/>
                <w:u w:val="single"/>
                <w14:textFill>
                  <w14:solidFill>
                    <w14:schemeClr w14:val="tx1"/>
                  </w14:solidFill>
                </w14:textFill>
              </w:rPr>
              <w:t xml:space="preserve">                    </w:t>
            </w:r>
          </w:p>
          <w:p>
            <w:pPr>
              <w:adjustRightInd w:val="0"/>
              <w:snapToGrid w:val="0"/>
              <w:spacing w:line="400" w:lineRule="exact"/>
              <w:ind w:firstLine="560" w:firstLineChars="200"/>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现场考察联系人及联系电话：</w:t>
            </w:r>
            <w:r>
              <w:rPr>
                <w:rFonts w:hint="eastAsia" w:ascii="仿宋" w:hAnsi="仿宋" w:eastAsia="仿宋"/>
                <w:color w:val="000000" w:themeColor="text1"/>
                <w:sz w:val="28"/>
                <w:szCs w:val="28"/>
                <w:u w:val="single"/>
                <w14:textFill>
                  <w14:solidFill>
                    <w14:schemeClr w14:val="tx1"/>
                  </w14:solidFill>
                </w14:textFill>
              </w:rPr>
              <w:t xml:space="preserve">         </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备注：如供应商未参加采购人统一组织的现场考察 ，视同放弃现场考察 ，由此引起的一切责任由供应商自行承担。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8.1</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询问截止时间</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u w:val="single"/>
                <w:lang w:val="en-US" w:eastAsia="zh-CN"/>
                <w14:textFill>
                  <w14:solidFill>
                    <w14:schemeClr w14:val="tx1"/>
                  </w14:solidFill>
                </w14:textFill>
              </w:rPr>
              <w:t>2023</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u w:val="single"/>
                <w:lang w:val="en-US" w:eastAsia="zh-CN"/>
                <w14:textFill>
                  <w14:solidFill>
                    <w14:schemeClr w14:val="tx1"/>
                  </w14:solidFill>
                </w14:textFill>
              </w:rPr>
              <w:t>04</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u w:val="single"/>
                <w:lang w:val="en-US" w:eastAsia="zh-CN"/>
                <w14:textFill>
                  <w14:solidFill>
                    <w14:schemeClr w14:val="tx1"/>
                  </w14:solidFill>
                </w14:textFill>
              </w:rPr>
              <w:t>18</w:t>
            </w:r>
            <w:r>
              <w:rPr>
                <w:rFonts w:hint="eastAsia" w:ascii="仿宋" w:hAnsi="仿宋" w:eastAsia="仿宋"/>
                <w:color w:val="000000" w:themeColor="text1"/>
                <w:sz w:val="28"/>
                <w:szCs w:val="28"/>
                <w14:textFill>
                  <w14:solidFill>
                    <w14:schemeClr w14:val="tx1"/>
                  </w14:solidFill>
                </w14:textFill>
              </w:rPr>
              <w:t>日</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u w:val="single"/>
                <w:lang w:val="en-US" w:eastAsia="zh-CN"/>
                <w14:textFill>
                  <w14:solidFill>
                    <w14:schemeClr w14:val="tx1"/>
                  </w14:solidFill>
                </w14:textFill>
              </w:rPr>
              <w:t>17</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时</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u w:val="single"/>
                <w:lang w:val="en-US" w:eastAsia="zh-CN"/>
                <w14:textFill>
                  <w14:solidFill>
                    <w14:schemeClr w14:val="tx1"/>
                  </w14:solidFill>
                </w14:textFill>
              </w:rPr>
              <w:t>00</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10.1</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包别划分</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sym w:font="Wingdings" w:char="00FE"/>
            </w:r>
            <w:r>
              <w:rPr>
                <w:rFonts w:hint="eastAsia" w:ascii="仿宋" w:hAnsi="仿宋" w:eastAsia="仿宋"/>
                <w:color w:val="000000" w:themeColor="text1"/>
                <w:sz w:val="28"/>
                <w:szCs w:val="28"/>
                <w14:textFill>
                  <w14:solidFill>
                    <w14:schemeClr w14:val="tx1"/>
                  </w14:solidFill>
                </w14:textFill>
              </w:rPr>
              <w:t>不分包 □分为</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个包</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供应商对多个包进行报价的成交包数规定</w:t>
            </w:r>
            <w:r>
              <w:rPr>
                <w:rFonts w:hint="eastAsia" w:ascii="仿宋" w:hAnsi="仿宋" w:eastAsia="仿宋"/>
                <w:color w:val="000000" w:themeColor="text1"/>
                <w:sz w:val="28"/>
                <w:szCs w:val="28"/>
                <w:u w:val="single"/>
                <w14:textFill>
                  <w14:solidFill>
                    <w14:schemeClr w14:val="tx1"/>
                  </w14:solidFill>
                </w14:textFill>
              </w:rPr>
              <w:t xml:space="preserve">：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13.1</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磋商有效期</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u w:val="single"/>
                <w14:textFill>
                  <w14:solidFill>
                    <w14:schemeClr w14:val="tx1"/>
                  </w14:solidFill>
                </w14:textFill>
              </w:rPr>
              <w:t xml:space="preserve"> 60 </w:t>
            </w:r>
            <w:r>
              <w:rPr>
                <w:rFonts w:hint="eastAsia" w:ascii="仿宋" w:hAnsi="仿宋" w:eastAsia="仿宋"/>
                <w:color w:val="000000" w:themeColor="text1"/>
                <w:sz w:val="28"/>
                <w:szCs w:val="28"/>
                <w14:textFill>
                  <w14:solidFill>
                    <w14:schemeClr w14:val="tx1"/>
                  </w14:solidFill>
                </w14:textFill>
              </w:rPr>
              <w:t>日历日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14.3</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宋体" w:hAnsi="宋体"/>
                <w:sz w:val="28"/>
                <w:szCs w:val="28"/>
              </w:rPr>
              <w:t>响应文件要求</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482" w:firstLineChars="200"/>
              <w:rPr>
                <w:rFonts w:ascii="仿宋" w:hAnsi="仿宋" w:eastAsia="仿宋"/>
                <w:color w:val="000000" w:themeColor="text1"/>
                <w:sz w:val="28"/>
                <w:szCs w:val="28"/>
                <w14:textFill>
                  <w14:solidFill>
                    <w14:schemeClr w14:val="tx1"/>
                  </w14:solidFill>
                </w14:textFill>
              </w:rPr>
            </w:pPr>
            <w:r>
              <w:rPr>
                <w:rFonts w:hint="eastAsia" w:ascii="宋体" w:hAnsi="宋体" w:eastAsia="宋体"/>
                <w:b/>
                <w:bCs w:val="0"/>
                <w:sz w:val="24"/>
              </w:rPr>
              <w:t>正本壹份，副本贰份。装订成册，不得活页装订。</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14.5</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磋商现场提交的其他材料要求</w:t>
            </w:r>
          </w:p>
        </w:tc>
        <w:tc>
          <w:tcPr>
            <w:tcW w:w="6208" w:type="dxa"/>
            <w:tcBorders>
              <w:top w:val="single" w:color="auto" w:sz="6" w:space="0"/>
              <w:left w:val="single" w:color="auto" w:sz="6" w:space="0"/>
              <w:bottom w:val="single" w:color="auto" w:sz="6" w:space="0"/>
              <w:right w:val="single" w:color="auto" w:sz="12" w:space="0"/>
            </w:tcBorders>
            <w:vAlign w:val="center"/>
          </w:tcPr>
          <w:p>
            <w:pPr>
              <w:spacing w:line="480" w:lineRule="exact"/>
              <w:ind w:firstLine="592" w:firstLineChars="200"/>
              <w:rPr>
                <w:rFonts w:ascii="仿宋" w:hAnsi="仿宋" w:eastAsia="仿宋"/>
                <w:bCs/>
                <w:color w:val="000000" w:themeColor="text1"/>
                <w:spacing w:val="8"/>
                <w:sz w:val="28"/>
                <w:szCs w:val="28"/>
                <w:u w:val="single"/>
                <w14:textFill>
                  <w14:solidFill>
                    <w14:schemeClr w14:val="tx1"/>
                  </w14:solidFill>
                </w14:textFill>
              </w:rPr>
            </w:pPr>
            <w:r>
              <w:rPr>
                <w:rFonts w:hint="eastAsia" w:ascii="仿宋" w:hAnsi="仿宋" w:eastAsia="仿宋"/>
                <w:bCs/>
                <w:color w:val="000000" w:themeColor="text1"/>
                <w:spacing w:val="8"/>
                <w:sz w:val="28"/>
                <w:szCs w:val="28"/>
                <w:u w:val="single"/>
                <w14:textFill>
                  <w14:solidFill>
                    <w14:schemeClr w14:val="tx1"/>
                  </w14:solidFill>
                </w14:textFill>
              </w:rPr>
              <w:t xml:space="preserve">   根据磋商文件要求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15.1</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响应文件提交截止时间</w:t>
            </w:r>
          </w:p>
        </w:tc>
        <w:tc>
          <w:tcPr>
            <w:tcW w:w="6208" w:type="dxa"/>
            <w:tcBorders>
              <w:top w:val="single" w:color="auto" w:sz="6" w:space="0"/>
              <w:left w:val="single" w:color="auto" w:sz="6" w:space="0"/>
              <w:bottom w:val="single" w:color="auto" w:sz="6" w:space="0"/>
              <w:right w:val="single" w:color="auto" w:sz="12" w:space="0"/>
            </w:tcBorders>
            <w:vAlign w:val="center"/>
          </w:tcPr>
          <w:p>
            <w:pPr>
              <w:spacing w:line="480" w:lineRule="exact"/>
              <w:ind w:firstLine="592" w:firstLineChars="200"/>
              <w:rPr>
                <w:rFonts w:ascii="仿宋" w:hAnsi="仿宋" w:eastAsia="仿宋"/>
                <w:bCs/>
                <w:color w:val="000000" w:themeColor="text1"/>
                <w:spacing w:val="8"/>
                <w:sz w:val="28"/>
                <w:szCs w:val="28"/>
                <w:u w:val="single"/>
                <w14:textFill>
                  <w14:solidFill>
                    <w14:schemeClr w14:val="tx1"/>
                  </w14:solidFill>
                </w14:textFill>
              </w:rPr>
            </w:pPr>
            <w:r>
              <w:rPr>
                <w:rFonts w:hint="eastAsia" w:ascii="仿宋" w:hAnsi="仿宋" w:eastAsia="仿宋"/>
                <w:bCs/>
                <w:color w:val="000000" w:themeColor="text1"/>
                <w:spacing w:val="8"/>
                <w:sz w:val="28"/>
                <w:szCs w:val="28"/>
                <w:u w:val="single"/>
                <w14:textFill>
                  <w14:solidFill>
                    <w14:schemeClr w14:val="tx1"/>
                  </w14:solidFill>
                </w14:textFill>
              </w:rPr>
              <w:t>详见磋商公告（磋商邀请）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vMerge w:val="restart"/>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18.1</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磋商时间</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详见磋商公告（磋商邀请）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仿宋" w:hAnsi="仿宋" w:eastAsia="仿宋"/>
                <w:color w:val="000000" w:themeColor="text1"/>
                <w:sz w:val="28"/>
                <w:szCs w:val="28"/>
                <w14:textFill>
                  <w14:solidFill>
                    <w14:schemeClr w14:val="tx1"/>
                  </w14:solidFill>
                </w14:textFill>
              </w:rPr>
            </w:pP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磋商地点</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详见磋商公告（磋商邀请）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widowControl/>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18.2</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评审方法</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sym w:font="Wingdings" w:char="00FE"/>
            </w:r>
            <w:r>
              <w:rPr>
                <w:rFonts w:hint="eastAsia" w:ascii="仿宋" w:hAnsi="仿宋" w:eastAsia="仿宋"/>
                <w:color w:val="000000" w:themeColor="text1"/>
                <w:sz w:val="28"/>
                <w:szCs w:val="28"/>
                <w14:textFill>
                  <w14:solidFill>
                    <w14:schemeClr w14:val="tx1"/>
                  </w14:solidFill>
                </w14:textFill>
              </w:rPr>
              <w:t>综合评分法</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vMerge w:val="restart"/>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23.1</w:t>
            </w:r>
          </w:p>
        </w:tc>
        <w:tc>
          <w:tcPr>
            <w:tcW w:w="2456" w:type="dxa"/>
            <w:vMerge w:val="restart"/>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确定成交候选供应商和成交供应商</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磋商小组推荐成交候选供应商的数量</w:t>
            </w:r>
            <w:r>
              <w:rPr>
                <w:rFonts w:hint="eastAsia" w:ascii="仿宋" w:hAnsi="仿宋" w:eastAsia="仿宋"/>
                <w:color w:val="000000" w:themeColor="text1"/>
                <w:sz w:val="28"/>
                <w:szCs w:val="28"/>
                <w:u w:val="single"/>
                <w14:textFill>
                  <w14:solidFill>
                    <w14:schemeClr w14:val="tx1"/>
                  </w14:solidFill>
                </w14:textFill>
              </w:rPr>
              <w:t xml:space="preserve">：1-3家  </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vMerge w:val="continue"/>
            <w:tcBorders>
              <w:top w:val="single" w:color="auto" w:sz="6" w:space="0"/>
              <w:left w:val="single" w:color="auto" w:sz="12" w:space="0"/>
              <w:bottom w:val="single" w:color="auto" w:sz="6" w:space="0"/>
              <w:right w:val="single" w:color="auto" w:sz="6" w:space="0"/>
            </w:tcBorders>
            <w:vAlign w:val="center"/>
          </w:tcPr>
          <w:p>
            <w:pPr>
              <w:widowControl/>
              <w:jc w:val="left"/>
              <w:rPr>
                <w:rFonts w:ascii="仿宋" w:hAnsi="仿宋" w:eastAsia="仿宋"/>
                <w:color w:val="000000" w:themeColor="text1"/>
                <w:sz w:val="28"/>
                <w:szCs w:val="28"/>
                <w14:textFill>
                  <w14:solidFill>
                    <w14:schemeClr w14:val="tx1"/>
                  </w14:solidFill>
                </w14:textFill>
              </w:rPr>
            </w:pPr>
          </w:p>
        </w:tc>
        <w:tc>
          <w:tcPr>
            <w:tcW w:w="2456"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ascii="仿宋" w:hAnsi="仿宋" w:eastAsia="仿宋"/>
                <w:color w:val="000000" w:themeColor="text1"/>
                <w:sz w:val="28"/>
                <w:szCs w:val="28"/>
                <w14:textFill>
                  <w14:solidFill>
                    <w14:schemeClr w14:val="tx1"/>
                  </w14:solidFill>
                </w14:textFill>
              </w:rPr>
            </w:pP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olor w:val="000000" w:themeColor="text1"/>
                <w:sz w:val="28"/>
                <w:szCs w:val="28"/>
                <w:u w:val="single"/>
                <w14:textFill>
                  <w14:solidFill>
                    <w14:schemeClr w14:val="tx1"/>
                  </w14:solidFill>
                </w14:textFill>
              </w:rPr>
              <w:t>确定成交供应商：</w:t>
            </w:r>
          </w:p>
          <w:p>
            <w:pPr>
              <w:adjustRightInd w:val="0"/>
              <w:snapToGrid w:val="0"/>
              <w:spacing w:line="400" w:lineRule="exact"/>
              <w:ind w:firstLine="560" w:firstLineChars="200"/>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olor w:val="000000" w:themeColor="text1"/>
                <w:sz w:val="28"/>
                <w:szCs w:val="28"/>
                <w:u w:val="single"/>
                <w14:textFill>
                  <w14:solidFill>
                    <w14:schemeClr w14:val="tx1"/>
                  </w14:solidFill>
                </w14:textFill>
              </w:rPr>
              <w:sym w:font="Wingdings" w:char="00FE"/>
            </w:r>
            <w:r>
              <w:rPr>
                <w:rFonts w:hint="eastAsia" w:ascii="仿宋" w:hAnsi="仿宋" w:eastAsia="仿宋"/>
                <w:color w:val="000000" w:themeColor="text1"/>
                <w:sz w:val="28"/>
                <w:szCs w:val="28"/>
                <w:u w:val="single"/>
                <w14:textFill>
                  <w14:solidFill>
                    <w14:schemeClr w14:val="tx1"/>
                  </w14:solidFill>
                </w14:textFill>
              </w:rPr>
              <w:t>采购人委托磋商小组确定</w:t>
            </w:r>
          </w:p>
          <w:p>
            <w:pPr>
              <w:adjustRightInd w:val="0"/>
              <w:snapToGrid w:val="0"/>
              <w:spacing w:line="400" w:lineRule="exact"/>
              <w:ind w:firstLine="420" w:firstLineChars="150"/>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olor w:val="000000" w:themeColor="text1"/>
                <w:sz w:val="28"/>
                <w:szCs w:val="28"/>
                <w:u w:val="single"/>
                <w14:textFill>
                  <w14:solidFill>
                    <w14:schemeClr w14:val="tx1"/>
                  </w14:solidFill>
                </w14:textFill>
              </w:rPr>
              <w:t xml:space="preserve"> □采购人确定</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27.1</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成交通知书发出的形式</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sym w:font="Wingdings" w:char="00FE"/>
            </w:r>
            <w:r>
              <w:rPr>
                <w:rFonts w:hint="eastAsia" w:ascii="仿宋" w:hAnsi="仿宋" w:eastAsia="仿宋"/>
                <w:color w:val="000000" w:themeColor="text1"/>
                <w:sz w:val="28"/>
                <w:szCs w:val="28"/>
                <w14:textFill>
                  <w14:solidFill>
                    <w14:schemeClr w14:val="tx1"/>
                  </w14:solidFill>
                </w14:textFill>
              </w:rPr>
              <w:t xml:space="preserve">书面     </w:t>
            </w:r>
            <w:r>
              <w:rPr>
                <w:rFonts w:hint="eastAsia" w:ascii="仿宋" w:hAnsi="仿宋" w:eastAsia="仿宋"/>
                <w:color w:val="000000" w:themeColor="text1"/>
                <w:sz w:val="28"/>
                <w:szCs w:val="28"/>
                <w14:textFill>
                  <w14:solidFill>
                    <w14:schemeClr w14:val="tx1"/>
                  </w14:solidFill>
                </w14:textFill>
              </w:rPr>
              <w:sym w:font="Wingdings" w:char="00A8"/>
            </w:r>
            <w:r>
              <w:rPr>
                <w:rFonts w:hint="eastAsia" w:ascii="仿宋" w:hAnsi="仿宋" w:eastAsia="仿宋"/>
                <w:color w:val="000000" w:themeColor="text1"/>
                <w:sz w:val="28"/>
                <w:szCs w:val="28"/>
                <w14:textFill>
                  <w14:solidFill>
                    <w14:schemeClr w14:val="tx1"/>
                  </w14:solidFill>
                </w14:textFill>
              </w:rPr>
              <w:t>数据电文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28.1</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告知磋商结果的形式</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sym w:font="Wingdings" w:char="00A8"/>
            </w:r>
            <w:r>
              <w:rPr>
                <w:rFonts w:hint="eastAsia" w:ascii="仿宋" w:hAnsi="仿宋" w:eastAsia="仿宋"/>
                <w:color w:val="000000" w:themeColor="text1"/>
                <w:sz w:val="28"/>
                <w:szCs w:val="28"/>
                <w14:textFill>
                  <w14:solidFill>
                    <w14:schemeClr w14:val="tx1"/>
                  </w14:solidFill>
                </w14:textFill>
              </w:rPr>
              <w:t>供应商自行登录电子服务系统查看</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sym w:font="Wingdings" w:char="00FE"/>
            </w:r>
            <w:r>
              <w:rPr>
                <w:rFonts w:hint="eastAsia" w:ascii="仿宋" w:hAnsi="仿宋" w:eastAsia="仿宋"/>
                <w:color w:val="000000" w:themeColor="text1"/>
                <w:sz w:val="28"/>
                <w:szCs w:val="28"/>
                <w14:textFill>
                  <w14:solidFill>
                    <w14:schemeClr w14:val="tx1"/>
                  </w14:solidFill>
                </w14:textFill>
              </w:rPr>
              <w:t>磋商现场告知</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29.1</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履约保证金</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1）金额：</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sym w:font="Wingdings" w:char="00FE"/>
            </w:r>
            <w:r>
              <w:rPr>
                <w:rFonts w:hint="eastAsia" w:ascii="仿宋" w:hAnsi="仿宋" w:eastAsia="仿宋"/>
                <w:color w:val="000000" w:themeColor="text1"/>
                <w:sz w:val="28"/>
                <w:szCs w:val="28"/>
                <w14:textFill>
                  <w14:solidFill>
                    <w14:schemeClr w14:val="tx1"/>
                  </w14:solidFill>
                </w14:textFill>
              </w:rPr>
              <w:t>免收</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sym w:font="Wingdings" w:char="00A8"/>
            </w:r>
            <w:r>
              <w:rPr>
                <w:rFonts w:hint="eastAsia" w:ascii="仿宋" w:hAnsi="仿宋" w:eastAsia="仿宋"/>
                <w:color w:val="000000" w:themeColor="text1"/>
                <w:sz w:val="28"/>
                <w:szCs w:val="28"/>
                <w14:textFill>
                  <w14:solidFill>
                    <w14:schemeClr w14:val="tx1"/>
                  </w14:solidFill>
                </w14:textFill>
              </w:rPr>
              <w:t>合同价的</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u w:val="single"/>
                <w:lang w:val="en-US" w:eastAsia="zh-CN"/>
                <w14:textFill>
                  <w14:solidFill>
                    <w14:schemeClr w14:val="tx1"/>
                  </w14:solidFill>
                </w14:textFill>
              </w:rPr>
              <w:t xml:space="preserve"> </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□定额收取：人民币</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元</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（2）支付方式：</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sym w:font="Wingdings" w:char="00A8"/>
            </w:r>
            <w:r>
              <w:rPr>
                <w:rFonts w:hint="eastAsia" w:ascii="仿宋" w:hAnsi="仿宋" w:eastAsia="仿宋"/>
                <w:color w:val="000000" w:themeColor="text1"/>
                <w:sz w:val="28"/>
                <w:szCs w:val="28"/>
                <w14:textFill>
                  <w14:solidFill>
                    <w14:schemeClr w14:val="tx1"/>
                  </w14:solidFill>
                </w14:textFill>
              </w:rPr>
              <w:t xml:space="preserve">转账/电汇 </w:t>
            </w:r>
            <w:r>
              <w:rPr>
                <w:rFonts w:hint="eastAsia" w:ascii="仿宋" w:hAnsi="仿宋" w:eastAsia="仿宋"/>
                <w:color w:val="000000" w:themeColor="text1"/>
                <w:sz w:val="28"/>
                <w:szCs w:val="28"/>
                <w14:textFill>
                  <w14:solidFill>
                    <w14:schemeClr w14:val="tx1"/>
                  </w14:solidFill>
                </w14:textFill>
              </w:rPr>
              <w:sym w:font="Wingdings" w:char="00A8"/>
            </w:r>
            <w:r>
              <w:rPr>
                <w:rFonts w:hint="eastAsia" w:ascii="仿宋" w:hAnsi="仿宋" w:eastAsia="仿宋"/>
                <w:color w:val="000000" w:themeColor="text1"/>
                <w:sz w:val="28"/>
                <w:szCs w:val="28"/>
                <w14:textFill>
                  <w14:solidFill>
                    <w14:schemeClr w14:val="tx1"/>
                  </w14:solidFill>
                </w14:textFill>
              </w:rPr>
              <w:t xml:space="preserve">支票 </w:t>
            </w:r>
            <w:r>
              <w:rPr>
                <w:rFonts w:hint="eastAsia" w:ascii="仿宋" w:hAnsi="仿宋" w:eastAsia="仿宋"/>
                <w:color w:val="000000" w:themeColor="text1"/>
                <w:sz w:val="28"/>
                <w:szCs w:val="28"/>
                <w14:textFill>
                  <w14:solidFill>
                    <w14:schemeClr w14:val="tx1"/>
                  </w14:solidFill>
                </w14:textFill>
              </w:rPr>
              <w:sym w:font="Wingdings" w:char="00A8"/>
            </w:r>
            <w:r>
              <w:rPr>
                <w:rFonts w:hint="eastAsia" w:ascii="仿宋" w:hAnsi="仿宋" w:eastAsia="仿宋"/>
                <w:color w:val="000000" w:themeColor="text1"/>
                <w:sz w:val="28"/>
                <w:szCs w:val="28"/>
                <w14:textFill>
                  <w14:solidFill>
                    <w14:schemeClr w14:val="tx1"/>
                  </w14:solidFill>
                </w14:textFill>
              </w:rPr>
              <w:t xml:space="preserve">汇票 </w:t>
            </w:r>
            <w:r>
              <w:rPr>
                <w:rFonts w:hint="eastAsia" w:ascii="仿宋" w:hAnsi="仿宋" w:eastAsia="仿宋"/>
                <w:color w:val="000000" w:themeColor="text1"/>
                <w:sz w:val="28"/>
                <w:szCs w:val="28"/>
                <w14:textFill>
                  <w14:solidFill>
                    <w14:schemeClr w14:val="tx1"/>
                  </w14:solidFill>
                </w14:textFill>
              </w:rPr>
              <w:sym w:font="Wingdings" w:char="00A8"/>
            </w:r>
            <w:r>
              <w:rPr>
                <w:rFonts w:hint="eastAsia" w:ascii="仿宋" w:hAnsi="仿宋" w:eastAsia="仿宋"/>
                <w:color w:val="000000" w:themeColor="text1"/>
                <w:sz w:val="28"/>
                <w:szCs w:val="28"/>
                <w14:textFill>
                  <w14:solidFill>
                    <w14:schemeClr w14:val="tx1"/>
                  </w14:solidFill>
                </w14:textFill>
              </w:rPr>
              <w:t xml:space="preserve">本票 </w:t>
            </w:r>
            <w:r>
              <w:rPr>
                <w:rFonts w:hint="eastAsia" w:ascii="仿宋" w:hAnsi="仿宋" w:eastAsia="仿宋"/>
                <w:color w:val="000000" w:themeColor="text1"/>
                <w:sz w:val="28"/>
                <w:szCs w:val="28"/>
                <w14:textFill>
                  <w14:solidFill>
                    <w14:schemeClr w14:val="tx1"/>
                  </w14:solidFill>
                </w14:textFill>
              </w:rPr>
              <w:sym w:font="Wingdings" w:char="00A8"/>
            </w:r>
            <w:r>
              <w:rPr>
                <w:rFonts w:hint="eastAsia" w:ascii="仿宋" w:hAnsi="仿宋" w:eastAsia="仿宋"/>
                <w:color w:val="000000" w:themeColor="text1"/>
                <w:sz w:val="28"/>
                <w:szCs w:val="28"/>
                <w14:textFill>
                  <w14:solidFill>
                    <w14:schemeClr w14:val="tx1"/>
                  </w14:solidFill>
                </w14:textFill>
              </w:rPr>
              <w:t>保函</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注：（1）如采用金融机构出具的保函（银行保函），应为银行出具的见索即付无条件保函；</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（2）如采用担保机构出具的保函（担保机构担保），应为经安徽省地方金融监督管理局审查批准，依法取得融资担保业务经营许可证的融资担保机构出具的无条件保函。</w:t>
            </w:r>
          </w:p>
          <w:p>
            <w:pPr>
              <w:adjustRightInd w:val="0"/>
              <w:snapToGrid w:val="0"/>
              <w:spacing w:line="400" w:lineRule="exact"/>
              <w:ind w:firstLine="560" w:firstLineChars="200"/>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（3）收取单位：</w:t>
            </w:r>
            <w:r>
              <w:rPr>
                <w:rFonts w:hint="eastAsia" w:ascii="仿宋" w:hAnsi="仿宋" w:eastAsia="仿宋"/>
                <w:color w:val="000000" w:themeColor="text1"/>
                <w:sz w:val="28"/>
                <w:szCs w:val="28"/>
                <w:lang w:eastAsia="zh-CN"/>
                <w14:textFill>
                  <w14:solidFill>
                    <w14:schemeClr w14:val="tx1"/>
                  </w14:solidFill>
                </w14:textFill>
              </w:rPr>
              <w:t>池州市第三人民医院</w:t>
            </w:r>
          </w:p>
          <w:p>
            <w:pPr>
              <w:adjustRightInd w:val="0"/>
              <w:snapToGrid w:val="0"/>
              <w:spacing w:line="400" w:lineRule="exact"/>
              <w:ind w:firstLine="560" w:firstLineChars="200"/>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（4）缴纳时间：</w:t>
            </w:r>
            <w:r>
              <w:rPr>
                <w:rFonts w:hint="eastAsia" w:ascii="仿宋" w:hAnsi="仿宋" w:eastAsia="仿宋"/>
                <w:color w:val="000000" w:themeColor="text1"/>
                <w:sz w:val="28"/>
                <w:szCs w:val="28"/>
                <w:u w:val="single"/>
                <w14:textFill>
                  <w14:solidFill>
                    <w14:schemeClr w14:val="tx1"/>
                  </w14:solidFill>
                </w14:textFill>
              </w:rPr>
              <w:t xml:space="preserve"> 签订合同前           </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（5）退还时间：验收合格后</w:t>
            </w:r>
            <w:r>
              <w:rPr>
                <w:rFonts w:hint="eastAsia" w:ascii="仿宋" w:hAnsi="仿宋" w:eastAsia="仿宋"/>
                <w:color w:val="000000" w:themeColor="text1"/>
                <w:sz w:val="28"/>
                <w:szCs w:val="28"/>
                <w:u w:val="single"/>
                <w14:textFill>
                  <w14:solidFill>
                    <w14:schemeClr w14:val="tx1"/>
                  </w14:solidFill>
                </w14:textFill>
              </w:rPr>
              <w:t xml:space="preserve">  7</w:t>
            </w:r>
            <w:r>
              <w:rPr>
                <w:rFonts w:hint="eastAsia" w:ascii="仿宋" w:hAnsi="仿宋" w:eastAsia="仿宋"/>
                <w:color w:val="000000" w:themeColor="text1"/>
                <w:sz w:val="28"/>
                <w:szCs w:val="28"/>
                <w14:textFill>
                  <w14:solidFill>
                    <w14:schemeClr w14:val="tx1"/>
                  </w14:solidFill>
                </w14:textFill>
              </w:rPr>
              <w:t>日历日内</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注意事项：</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（1）以上各类机构出具的以担保函、保证保险承担责任的方式均须满足无条件见索即付条件。</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（2）以担保函、保证保险形式缴纳履约保证金的，受益人和收取单位须为采购人。</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31</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签订合同</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根据《安徽省财政厅关于进一步优化政府采购营商环境的通知》（皖财购[2022]556号）规定，自中标（成交）中通知书发放之日起7个工作日内，采购单位应与中标（成交）供应商办理合同签订等各项手续。</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33.3</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提出异议</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1、提出异议的过程：</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（1）潜在投标人对磋商文件提出异议</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（2）投标人对评标结果提出异议</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2、提出异议的方式</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书面形式递交</w:t>
            </w:r>
          </w:p>
          <w:p>
            <w:pPr>
              <w:adjustRightInd w:val="0"/>
              <w:snapToGrid w:val="0"/>
              <w:spacing w:line="400" w:lineRule="exact"/>
              <w:ind w:firstLine="560" w:firstLineChars="200"/>
              <w:rPr>
                <w:rFonts w:hint="eastAsia" w:ascii="仿宋" w:hAnsi="仿宋" w:eastAsia="仿宋"/>
                <w:color w:val="000000" w:themeColor="text1"/>
                <w:sz w:val="28"/>
                <w:szCs w:val="28"/>
                <w:u w:val="single"/>
                <w:lang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接收部门：</w:t>
            </w:r>
            <w:r>
              <w:rPr>
                <w:rFonts w:hint="eastAsia" w:ascii="仿宋" w:hAnsi="仿宋" w:eastAsia="仿宋"/>
                <w:color w:val="000000" w:themeColor="text1"/>
                <w:sz w:val="28"/>
                <w:szCs w:val="28"/>
                <w:lang w:eastAsia="zh-CN"/>
                <w14:textFill>
                  <w14:solidFill>
                    <w14:schemeClr w14:val="tx1"/>
                  </w14:solidFill>
                </w14:textFill>
              </w:rPr>
              <w:t>池州市第三人民医院</w:t>
            </w:r>
          </w:p>
          <w:p>
            <w:pPr>
              <w:adjustRightInd w:val="0"/>
              <w:snapToGrid w:val="0"/>
              <w:spacing w:line="400" w:lineRule="exact"/>
              <w:ind w:firstLine="560" w:firstLineChars="200"/>
              <w:rPr>
                <w:rFonts w:hint="default" w:ascii="仿宋" w:hAnsi="仿宋" w:eastAsia="仿宋"/>
                <w:color w:val="000000" w:themeColor="text1"/>
                <w:sz w:val="28"/>
                <w:szCs w:val="28"/>
                <w:u w:val="single"/>
                <w:lang w:val="en-US" w:eastAsia="zh-CN"/>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联系电话：</w:t>
            </w:r>
            <w:r>
              <w:rPr>
                <w:rFonts w:hint="eastAsia" w:ascii="仿宋" w:hAnsi="仿宋" w:eastAsia="仿宋" w:cs="仿宋"/>
                <w:sz w:val="28"/>
                <w:szCs w:val="28"/>
                <w:lang w:val="en-US" w:eastAsia="zh-CN"/>
              </w:rPr>
              <w:t>05663386110</w:t>
            </w:r>
          </w:p>
          <w:p>
            <w:pPr>
              <w:adjustRightInd w:val="0"/>
              <w:snapToGrid w:val="0"/>
              <w:spacing w:line="400" w:lineRule="exact"/>
              <w:ind w:firstLine="560" w:firstLineChars="200"/>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通讯地址：池州市贵池区清溪街道清溪社区（凤凰井路西段）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34.2</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履约验收</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根据《安徽省财政厅关于进一步优化政府采购营商环境的通知》（皖财购[2022]556号）规定，采购人应当在项目完成且收到供应商验收申请后5个工作日内组织开展履约验收。对于符合支付条件的，应在收到发票后7个工作日内将资金支付到合同约定的供应商账户。</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35</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其他内容</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35.1</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本项目提供除电子版磋商文件以外的其他资料</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sym w:font="Wingdings" w:char="00FE"/>
            </w:r>
            <w:r>
              <w:rPr>
                <w:rFonts w:hint="eastAsia" w:ascii="仿宋" w:hAnsi="仿宋" w:eastAsia="仿宋"/>
                <w:color w:val="000000" w:themeColor="text1"/>
                <w:sz w:val="28"/>
                <w:szCs w:val="28"/>
                <w14:textFill>
                  <w14:solidFill>
                    <w14:schemeClr w14:val="tx1"/>
                  </w14:solidFill>
                </w14:textFill>
              </w:rPr>
              <w:t>无 □图纸 □光盘 □</w:t>
            </w:r>
            <w:r>
              <w:rPr>
                <w:rFonts w:hint="eastAsia" w:ascii="仿宋" w:hAnsi="仿宋" w:eastAsia="仿宋"/>
                <w:color w:val="000000" w:themeColor="text1"/>
                <w:sz w:val="28"/>
                <w:szCs w:val="28"/>
                <w:u w:val="single"/>
                <w14:textFill>
                  <w14:solidFill>
                    <w14:schemeClr w14:val="tx1"/>
                  </w14:solidFill>
                </w14:textFill>
              </w:rPr>
              <w:t xml:space="preserve">     </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获取方式：</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上述资料请供应商在获取磋商文件后，自行登陆电子交易系统下载本项目附件。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35.2</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关于联合体的相关约定</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（1）联合体参加磋商的，磋商文件获取手续由联合体中任一成员单位办理均可。</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（2）联合体参加磋商的须提供联合体协议（见响应文件格式），相关证明材料由供应商根据联合体协议分工情况及磋商文件要求提供。</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（3）联合体各成员单位均须提供营业执照（或事业单位法人登记证书）、税务登记证。</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注：已办理“三证合一”登记的，响应文件中提供营业执照（或事业单位法人登记证书）扫描件即可。</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35.3</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社保证明材料（如有）</w:t>
            </w:r>
          </w:p>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本项目磋商文件中要求提供的社保证明材料为下述形式之一（响应文件中须提供扫描件）：</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（1）社保局官方网站查询的缴费记录截图；</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（2）社保局的书面证明材料；</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（3）经供应商委托的第三方人力资源服务机构或与供应商有直接隶属关系的机构可以代缴社保，但须提供有关证明材料并经磋商小组确认。</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（4）参与磋商的院校，社保证明可以用以下任意一种：</w:t>
            </w:r>
          </w:p>
          <w:p>
            <w:pPr>
              <w:adjustRightInd w:val="0"/>
              <w:snapToGrid w:val="0"/>
              <w:spacing w:line="400" w:lineRule="exact"/>
              <w:ind w:firstLine="700" w:firstLineChars="25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①加盖供应商公章的教师证（须为本单位人员）；</w:t>
            </w:r>
          </w:p>
          <w:p>
            <w:pPr>
              <w:adjustRightInd w:val="0"/>
              <w:snapToGrid w:val="0"/>
              <w:spacing w:line="400" w:lineRule="exact"/>
              <w:ind w:firstLine="700" w:firstLineChars="25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②医保证明材料。</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（5）其他经评磋商小组认可的证明材料。</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（6）法定代表人参与项目的，无需提供社保证明材料，提供身份证明材料即可。</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35.4</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答复异议</w:t>
            </w:r>
          </w:p>
        </w:tc>
        <w:tc>
          <w:tcPr>
            <w:tcW w:w="6208" w:type="dxa"/>
            <w:tcBorders>
              <w:top w:val="single" w:color="auto" w:sz="6" w:space="0"/>
              <w:left w:val="single" w:color="auto" w:sz="6" w:space="0"/>
              <w:bottom w:val="single" w:color="auto" w:sz="6" w:space="0"/>
              <w:right w:val="single" w:color="auto" w:sz="12" w:space="0"/>
            </w:tcBorders>
            <w:vAlign w:val="center"/>
          </w:tcPr>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1、答复异议的过程：</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（1）答复对磋商文件提出的异议</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（2）答复对评标结果提出的异议</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2、答复异议的方式</w:t>
            </w:r>
          </w:p>
          <w:p>
            <w:pPr>
              <w:adjustRightInd w:val="0"/>
              <w:snapToGrid w:val="0"/>
              <w:spacing w:line="40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书面形式答复以书面形式递交的异议</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35.5</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重要提示一</w:t>
            </w:r>
          </w:p>
        </w:tc>
        <w:tc>
          <w:tcPr>
            <w:tcW w:w="6208" w:type="dxa"/>
            <w:tcBorders>
              <w:top w:val="single" w:color="auto" w:sz="6" w:space="0"/>
              <w:left w:val="single" w:color="auto" w:sz="6" w:space="0"/>
              <w:bottom w:val="single" w:color="auto" w:sz="6" w:space="0"/>
              <w:right w:val="single" w:color="auto" w:sz="12" w:space="0"/>
            </w:tcBorders>
            <w:vAlign w:val="center"/>
          </w:tcPr>
          <w:p>
            <w:pPr>
              <w:spacing w:line="400" w:lineRule="exac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成交供应商应在规定期限内领取《成交（成交）通知书》，若成交供应商未在规定期限内领取《成交（成交）通知书》，采购人有权取消成交供应商成交资格，并将相关违约行为报送监管部门，实施信用惩戒；</w:t>
            </w:r>
          </w:p>
          <w:p>
            <w:pPr>
              <w:spacing w:line="400" w:lineRule="exac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成交供应商应在规定期限内提交履约担保并与采购人签订合同，若成交供应商未能在规定期限内提交履约担保或签订合同，采购人有权取消成交供应商成交资格，并将相关违约行为报送监管部门，实施信用惩戒；</w:t>
            </w:r>
          </w:p>
          <w:p>
            <w:pPr>
              <w:spacing w:line="400" w:lineRule="exac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合同签订后，成交供应商存在规定时间内不组织人员进场开工，不履行供货、安装或服务义务等情况，采购人有权解除合同，并追究违约责任，同时将相关违约行为报送监管部门，记不良行为记录，实施信用惩戒；</w:t>
            </w:r>
          </w:p>
          <w:p>
            <w:pPr>
              <w:spacing w:line="400" w:lineRule="exac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（4）成交供应商成交后被监管部门查实存在违法行为，不满足成交条件的，由采购人取消成交资格，并做好项目后续工作；</w:t>
            </w:r>
          </w:p>
          <w:p>
            <w:pPr>
              <w:spacing w:line="400" w:lineRule="exac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（5）成交供应商在成交项目发生投诉、信访举报案件、履约存在争议时，拒绝协助配合执法部门调查案件的，采购人可以取消其成交资格或解除合同，并追究其违约责任。</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35.6</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重要提示二</w:t>
            </w:r>
          </w:p>
        </w:tc>
        <w:tc>
          <w:tcPr>
            <w:tcW w:w="6208" w:type="dxa"/>
            <w:tcBorders>
              <w:top w:val="single" w:color="auto" w:sz="6" w:space="0"/>
              <w:left w:val="single" w:color="auto" w:sz="6" w:space="0"/>
              <w:bottom w:val="single" w:color="auto" w:sz="6" w:space="0"/>
              <w:right w:val="single" w:color="auto" w:sz="12" w:space="0"/>
            </w:tcBorders>
            <w:vAlign w:val="center"/>
          </w:tcPr>
          <w:p>
            <w:pPr>
              <w:spacing w:line="400" w:lineRule="exac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特别提醒：磋商供应商参与政府采购，应当诚信守法、公平竞争。如有以提供虚假材料（包括但不限于虚假技术参数响应、虚假业绩、虚假证书、虚假检测报告等）、串通磋商、隐瞒失信信息等谋取成交的行为，一经发现，将报监管部门严肃查处。</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35.7</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解释权</w:t>
            </w:r>
          </w:p>
        </w:tc>
        <w:tc>
          <w:tcPr>
            <w:tcW w:w="6208" w:type="dxa"/>
            <w:tcBorders>
              <w:top w:val="single" w:color="auto" w:sz="6" w:space="0"/>
              <w:left w:val="single" w:color="auto" w:sz="6" w:space="0"/>
              <w:bottom w:val="single" w:color="auto" w:sz="6" w:space="0"/>
              <w:right w:val="single" w:color="auto" w:sz="12" w:space="0"/>
            </w:tcBorders>
            <w:vAlign w:val="center"/>
          </w:tcPr>
          <w:p>
            <w:pPr>
              <w:spacing w:line="400" w:lineRule="exac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（1）构成本磋商文件的各个组成文件应互为解释，互为说明；</w:t>
            </w:r>
          </w:p>
          <w:p>
            <w:pPr>
              <w:spacing w:line="400" w:lineRule="exac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（2）同一组成文件中就同一事项的规定或约定不一致的，以编排顺序在后者为准； </w:t>
            </w:r>
          </w:p>
          <w:p>
            <w:pPr>
              <w:spacing w:line="400" w:lineRule="exac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（3）如有不明确或不一致，构成合同文件组成内容的，以合同文件约定内容为准，且以专用合同条款约定的合同文件优先顺序解释；</w:t>
            </w:r>
          </w:p>
          <w:p>
            <w:pPr>
              <w:spacing w:line="400" w:lineRule="exac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（4）除磋商文件中有特别规定外，仅适用于磋商磋商阶段的规定，按磋商公告、供应商须知、评标方法和标准、磋商文件格式的先后顺序解释；</w:t>
            </w:r>
          </w:p>
          <w:p>
            <w:pPr>
              <w:spacing w:line="400" w:lineRule="exact"/>
              <w:ind w:firstLine="548" w:firstLineChars="196"/>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（5）按本款前述规定仍不能形成结论的，由采购人负责解释。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35.8</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等效件</w:t>
            </w:r>
          </w:p>
        </w:tc>
        <w:tc>
          <w:tcPr>
            <w:tcW w:w="6208" w:type="dxa"/>
            <w:tcBorders>
              <w:top w:val="single" w:color="auto" w:sz="6" w:space="0"/>
              <w:left w:val="single" w:color="auto" w:sz="6" w:space="0"/>
              <w:bottom w:val="single" w:color="auto" w:sz="6" w:space="0"/>
              <w:right w:val="single" w:color="auto" w:sz="12" w:space="0"/>
            </w:tcBorders>
            <w:vAlign w:val="center"/>
          </w:tcPr>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下列证明文件将被视为与提供原件相同的效力：</w:t>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（1）公证机关的公证书原件（应当提供证件的主要信息并且距开标时间不得大于6个月）；</w:t>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（2）证件原件办理年审、换证、遗失或其他客观情形不能携带至现场的，提供发证机关或县级以上行政管理部门的证明材料原件，证明材料中应当注明证件的主要信息。</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35.9</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调查处理</w:t>
            </w:r>
          </w:p>
        </w:tc>
        <w:tc>
          <w:tcPr>
            <w:tcW w:w="6208" w:type="dxa"/>
            <w:tcBorders>
              <w:top w:val="single" w:color="auto" w:sz="6" w:space="0"/>
              <w:left w:val="single" w:color="auto" w:sz="6" w:space="0"/>
              <w:bottom w:val="single" w:color="auto" w:sz="6" w:space="0"/>
              <w:right w:val="single" w:color="auto" w:sz="12" w:space="0"/>
            </w:tcBorders>
            <w:vAlign w:val="center"/>
          </w:tcPr>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根据《安徽省财政厅关于进一步规范政府采购管理支持企业发展的通知》皖财购[2021]349号文件规定：供应商在政府采购活动中存在围标串标、随意弃标等违法违规行为的，采购人、代理机构应当及时报同级政府采购监管部门，由监管部门依法依规进行调查处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921" w:type="dxa"/>
            <w:tcBorders>
              <w:top w:val="single" w:color="auto" w:sz="6" w:space="0"/>
              <w:left w:val="single" w:color="auto" w:sz="12" w:space="0"/>
              <w:bottom w:val="single" w:color="auto" w:sz="6" w:space="0"/>
              <w:right w:val="single" w:color="auto" w:sz="6" w:space="0"/>
            </w:tcBorders>
            <w:vAlign w:val="center"/>
          </w:tcPr>
          <w:p>
            <w:pPr>
              <w:adjustRightInd w:val="0"/>
              <w:snapToGrid w:val="0"/>
              <w:spacing w:line="400" w:lineRule="exac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35.11</w:t>
            </w:r>
          </w:p>
        </w:tc>
        <w:tc>
          <w:tcPr>
            <w:tcW w:w="2456"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400" w:lineRule="exac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投诉</w:t>
            </w:r>
          </w:p>
        </w:tc>
        <w:tc>
          <w:tcPr>
            <w:tcW w:w="6208" w:type="dxa"/>
            <w:tcBorders>
              <w:top w:val="single" w:color="auto" w:sz="6" w:space="0"/>
              <w:left w:val="single" w:color="auto" w:sz="6" w:space="0"/>
              <w:bottom w:val="single" w:color="auto" w:sz="6" w:space="0"/>
              <w:right w:val="single" w:color="auto" w:sz="12" w:space="0"/>
            </w:tcBorders>
            <w:vAlign w:val="center"/>
          </w:tcPr>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质疑供应商对采购人的答复不满意或者采购人未在规定时间内作出答复的，可以在答复期满后15个工作日内向同级政府采购监督管理部门投诉。</w:t>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提出投诉的方式（任选一种）：①在线通过电子交易系统提出；②线下提交纸质版投诉文件。</w:t>
            </w:r>
          </w:p>
          <w:p>
            <w:pPr>
              <w:spacing w:line="400" w:lineRule="exact"/>
              <w:ind w:firstLine="548" w:firstLineChars="196"/>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作出处理决定方式：①在线通过电子系统作出处理决定；②线下作出处理决定。</w:t>
            </w:r>
          </w:p>
        </w:tc>
      </w:tr>
    </w:tbl>
    <w:p>
      <w:pPr>
        <w:pStyle w:val="4"/>
        <w:jc w:val="both"/>
        <w:rPr>
          <w:rFonts w:hint="eastAsia" w:ascii="华文中宋" w:hAnsi="华文中宋" w:eastAsia="华文中宋"/>
          <w:b w:val="0"/>
        </w:rPr>
      </w:pPr>
    </w:p>
    <w:p>
      <w:pPr>
        <w:rPr>
          <w:rFonts w:hint="eastAsia" w:ascii="华文中宋" w:hAnsi="华文中宋" w:eastAsia="华文中宋"/>
          <w:b w:val="0"/>
        </w:rPr>
      </w:pPr>
      <w:r>
        <w:rPr>
          <w:rFonts w:hint="eastAsia" w:ascii="华文中宋" w:hAnsi="华文中宋" w:eastAsia="华文中宋"/>
          <w:b w:val="0"/>
        </w:rPr>
        <w:br w:type="page"/>
      </w:r>
    </w:p>
    <w:p>
      <w:pPr>
        <w:pStyle w:val="4"/>
        <w:jc w:val="center"/>
        <w:rPr>
          <w:rFonts w:ascii="华文中宋" w:hAnsi="华文中宋" w:eastAsia="华文中宋"/>
          <w:b w:val="0"/>
        </w:rPr>
      </w:pPr>
      <w:bookmarkStart w:id="33" w:name="_Toc10673"/>
      <w:r>
        <w:rPr>
          <w:rFonts w:hint="eastAsia" w:ascii="华文中宋" w:hAnsi="华文中宋" w:eastAsia="华文中宋"/>
          <w:b w:val="0"/>
        </w:rPr>
        <w:t>第三章  采购需求</w:t>
      </w:r>
      <w:bookmarkEnd w:id="33"/>
    </w:p>
    <w:p>
      <w:pPr>
        <w:jc w:val="center"/>
        <w:rPr>
          <w:rFonts w:ascii="仿宋" w:hAnsi="仿宋" w:eastAsia="仿宋"/>
          <w:color w:val="000000" w:themeColor="text1"/>
          <w:sz w:val="28"/>
          <w:szCs w:val="28"/>
          <w14:textFill>
            <w14:solidFill>
              <w14:schemeClr w14:val="tx1"/>
            </w14:solidFill>
          </w14:textFill>
        </w:rPr>
      </w:pPr>
    </w:p>
    <w:p>
      <w:pPr>
        <w:jc w:val="left"/>
        <w:rPr>
          <w:rFonts w:ascii="仿宋" w:hAnsi="仿宋" w:eastAsia="仿宋"/>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一、采购需求前附表</w:t>
      </w:r>
    </w:p>
    <w:tbl>
      <w:tblPr>
        <w:tblStyle w:val="37"/>
        <w:tblW w:w="93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3"/>
        <w:gridCol w:w="2788"/>
        <w:gridCol w:w="5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93" w:type="dxa"/>
            <w:shd w:val="clear" w:color="auto" w:fill="auto"/>
            <w:vAlign w:val="center"/>
          </w:tcPr>
          <w:p>
            <w:pPr>
              <w:jc w:val="cente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序号</w:t>
            </w:r>
          </w:p>
        </w:tc>
        <w:tc>
          <w:tcPr>
            <w:tcW w:w="2788" w:type="dxa"/>
            <w:shd w:val="clear" w:color="auto" w:fill="auto"/>
            <w:vAlign w:val="center"/>
          </w:tcPr>
          <w:p>
            <w:pPr>
              <w:jc w:val="cente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条款名称</w:t>
            </w:r>
          </w:p>
        </w:tc>
        <w:tc>
          <w:tcPr>
            <w:tcW w:w="5637" w:type="dxa"/>
            <w:shd w:val="clear" w:color="auto" w:fill="auto"/>
            <w:vAlign w:val="center"/>
          </w:tcPr>
          <w:p>
            <w:pPr>
              <w:jc w:val="cente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893" w:type="dxa"/>
            <w:shd w:val="clear" w:color="auto" w:fill="auto"/>
            <w:vAlign w:val="center"/>
          </w:tcPr>
          <w:p>
            <w:pPr>
              <w:jc w:val="cente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1</w:t>
            </w:r>
          </w:p>
        </w:tc>
        <w:tc>
          <w:tcPr>
            <w:tcW w:w="2788" w:type="dxa"/>
            <w:shd w:val="clear" w:color="auto" w:fill="auto"/>
            <w:vAlign w:val="center"/>
          </w:tcPr>
          <w:p>
            <w:pPr>
              <w:jc w:val="cente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付款方式</w:t>
            </w:r>
          </w:p>
        </w:tc>
        <w:tc>
          <w:tcPr>
            <w:tcW w:w="5637" w:type="dxa"/>
            <w:shd w:val="clear" w:color="auto" w:fill="auto"/>
            <w:vAlign w:val="center"/>
          </w:tcPr>
          <w:p>
            <w:pPr>
              <w:jc w:val="left"/>
              <w:rPr>
                <w:rFonts w:hint="default"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val="en-US" w:eastAsia="zh-CN"/>
                <w14:textFill>
                  <w14:solidFill>
                    <w14:schemeClr w14:val="tx1"/>
                  </w14:solidFill>
                </w14:textFill>
              </w:rPr>
              <w:t>甲方根据乙方开具的普通税务发票，每季度支付一次。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93" w:type="dxa"/>
            <w:shd w:val="clear" w:color="auto" w:fill="auto"/>
          </w:tcPr>
          <w:p>
            <w:pPr>
              <w:jc w:val="cente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2</w:t>
            </w:r>
          </w:p>
        </w:tc>
        <w:tc>
          <w:tcPr>
            <w:tcW w:w="2788" w:type="dxa"/>
            <w:shd w:val="clear" w:color="auto" w:fill="auto"/>
          </w:tcPr>
          <w:p>
            <w:pPr>
              <w:jc w:val="cente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服务地点</w:t>
            </w:r>
          </w:p>
        </w:tc>
        <w:tc>
          <w:tcPr>
            <w:tcW w:w="5637" w:type="dxa"/>
            <w:shd w:val="clear" w:color="auto" w:fill="auto"/>
          </w:tcPr>
          <w:p>
            <w:pPr>
              <w:jc w:val="center"/>
              <w:rPr>
                <w:rFonts w:hint="default" w:ascii="仿宋" w:hAnsi="仿宋" w:eastAsia="仿宋"/>
                <w:color w:val="000000" w:themeColor="text1"/>
                <w:sz w:val="28"/>
                <w:szCs w:val="28"/>
                <w:highlight w:val="none"/>
                <w:lang w:val="en-US" w:eastAsia="zh-CN"/>
                <w14:textFill>
                  <w14:solidFill>
                    <w14:schemeClr w14:val="tx1"/>
                  </w14:solidFill>
                </w14:textFill>
              </w:rPr>
            </w:pPr>
            <w:r>
              <w:rPr>
                <w:rFonts w:hint="eastAsia" w:ascii="仿宋" w:hAnsi="仿宋" w:eastAsia="仿宋"/>
                <w:color w:val="000000" w:themeColor="text1"/>
                <w:sz w:val="28"/>
                <w:szCs w:val="28"/>
                <w:highlight w:val="none"/>
                <w:lang w:eastAsia="zh-CN"/>
                <w14:textFill>
                  <w14:solidFill>
                    <w14:schemeClr w14:val="tx1"/>
                  </w14:solidFill>
                </w14:textFill>
              </w:rPr>
              <w:t>池州市</w:t>
            </w:r>
            <w:r>
              <w:rPr>
                <w:rFonts w:hint="eastAsia" w:ascii="仿宋" w:hAnsi="仿宋" w:eastAsia="仿宋"/>
                <w:color w:val="000000" w:themeColor="text1"/>
                <w:sz w:val="28"/>
                <w:szCs w:val="28"/>
                <w:highlight w:val="none"/>
                <w:lang w:val="en-US" w:eastAsia="zh-CN"/>
                <w14:textFill>
                  <w14:solidFill>
                    <w14:schemeClr w14:val="tx1"/>
                  </w14:solidFill>
                </w14:textFill>
              </w:rPr>
              <w:t>第三人民医院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893" w:type="dxa"/>
            <w:shd w:val="clear" w:color="auto" w:fill="auto"/>
          </w:tcPr>
          <w:p>
            <w:pPr>
              <w:jc w:val="cente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3</w:t>
            </w:r>
          </w:p>
        </w:tc>
        <w:tc>
          <w:tcPr>
            <w:tcW w:w="2788" w:type="dxa"/>
            <w:shd w:val="clear" w:color="auto" w:fill="auto"/>
          </w:tcPr>
          <w:p>
            <w:pPr>
              <w:jc w:val="center"/>
              <w:rPr>
                <w:rFonts w:ascii="仿宋" w:hAnsi="仿宋" w:eastAsia="仿宋"/>
                <w:color w:val="000000" w:themeColor="text1"/>
                <w:sz w:val="28"/>
                <w:szCs w:val="28"/>
                <w:highlight w:val="none"/>
                <w14:textFill>
                  <w14:solidFill>
                    <w14:schemeClr w14:val="tx1"/>
                  </w14:solidFill>
                </w14:textFill>
              </w:rPr>
            </w:pPr>
            <w:r>
              <w:rPr>
                <w:rFonts w:hint="eastAsia" w:ascii="仿宋" w:hAnsi="仿宋" w:eastAsia="仿宋"/>
                <w:color w:val="000000" w:themeColor="text1"/>
                <w:sz w:val="28"/>
                <w:szCs w:val="28"/>
                <w:highlight w:val="none"/>
                <w14:textFill>
                  <w14:solidFill>
                    <w14:schemeClr w14:val="tx1"/>
                  </w14:solidFill>
                </w14:textFill>
              </w:rPr>
              <w:t>服务期限</w:t>
            </w:r>
          </w:p>
        </w:tc>
        <w:tc>
          <w:tcPr>
            <w:tcW w:w="5637" w:type="dxa"/>
            <w:shd w:val="clear" w:color="auto" w:fill="auto"/>
          </w:tcPr>
          <w:p>
            <w:pPr>
              <w:jc w:val="center"/>
              <w:rPr>
                <w:rFonts w:hint="eastAsia" w:ascii="仿宋" w:hAnsi="仿宋" w:eastAsia="仿宋"/>
                <w:color w:val="000000" w:themeColor="text1"/>
                <w:sz w:val="28"/>
                <w:szCs w:val="28"/>
                <w:highlight w:val="none"/>
                <w:lang w:eastAsia="zh-CN"/>
                <w14:textFill>
                  <w14:solidFill>
                    <w14:schemeClr w14:val="tx1"/>
                  </w14:solidFill>
                </w14:textFill>
              </w:rPr>
            </w:pPr>
            <w:r>
              <w:rPr>
                <w:rFonts w:hint="eastAsia" w:ascii="仿宋" w:hAnsi="仿宋" w:eastAsia="仿宋"/>
                <w:color w:val="000000" w:themeColor="text1"/>
                <w:sz w:val="28"/>
                <w:szCs w:val="28"/>
                <w:highlight w:val="none"/>
                <w:lang w:eastAsia="zh-CN"/>
                <w14:textFill>
                  <w14:solidFill>
                    <w14:schemeClr w14:val="tx1"/>
                  </w14:solidFill>
                </w14:textFill>
              </w:rPr>
              <w:t>叁年</w:t>
            </w:r>
          </w:p>
        </w:tc>
      </w:tr>
    </w:tbl>
    <w:p>
      <w:pPr>
        <w:jc w:val="left"/>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二、项目背景</w:t>
      </w:r>
    </w:p>
    <w:p>
      <w:pPr>
        <w:jc w:val="left"/>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lang w:eastAsia="zh-CN"/>
          <w14:textFill>
            <w14:solidFill>
              <w14:schemeClr w14:val="tx1"/>
            </w14:solidFill>
          </w14:textFill>
        </w:rPr>
        <w:t>三</w:t>
      </w:r>
      <w:r>
        <w:rPr>
          <w:rFonts w:hint="eastAsia" w:ascii="黑体" w:hAnsi="黑体" w:eastAsia="黑体" w:cs="黑体"/>
          <w:color w:val="000000" w:themeColor="text1"/>
          <w:sz w:val="28"/>
          <w:szCs w:val="28"/>
          <w14:textFill>
            <w14:solidFill>
              <w14:schemeClr w14:val="tx1"/>
            </w14:solidFill>
          </w14:textFill>
        </w:rPr>
        <w:t>、建设内容</w:t>
      </w:r>
    </w:p>
    <w:tbl>
      <w:tblPr>
        <w:tblStyle w:val="37"/>
        <w:tblW w:w="5000" w:type="pct"/>
        <w:tblInd w:w="0" w:type="dxa"/>
        <w:tblLayout w:type="fixed"/>
        <w:tblCellMar>
          <w:top w:w="0" w:type="dxa"/>
          <w:left w:w="108" w:type="dxa"/>
          <w:bottom w:w="0" w:type="dxa"/>
          <w:right w:w="108" w:type="dxa"/>
        </w:tblCellMar>
      </w:tblPr>
      <w:tblGrid>
        <w:gridCol w:w="871"/>
        <w:gridCol w:w="1529"/>
        <w:gridCol w:w="721"/>
        <w:gridCol w:w="981"/>
        <w:gridCol w:w="1157"/>
        <w:gridCol w:w="4027"/>
      </w:tblGrid>
      <w:tr>
        <w:tblPrEx>
          <w:tblCellMar>
            <w:top w:w="0" w:type="dxa"/>
            <w:left w:w="108" w:type="dxa"/>
            <w:bottom w:w="0" w:type="dxa"/>
            <w:right w:w="108" w:type="dxa"/>
          </w:tblCellMar>
        </w:tblPrEx>
        <w:trPr>
          <w:trHeight w:val="304" w:hRule="atLeast"/>
        </w:trPr>
        <w:tc>
          <w:tcPr>
            <w:tcW w:w="1680"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lang w:val="en-US" w:eastAsia="zh-CN"/>
              </w:rPr>
              <w:t>池州市第三人民医院</w:t>
            </w:r>
          </w:p>
        </w:tc>
        <w:tc>
          <w:tcPr>
            <w:tcW w:w="1151" w:type="pct"/>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供应商填写</w:t>
            </w:r>
          </w:p>
        </w:tc>
        <w:tc>
          <w:tcPr>
            <w:tcW w:w="216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2"/>
                <w:szCs w:val="22"/>
                <w:lang w:val="en-US" w:eastAsia="zh-CN" w:bidi="ar-SA"/>
              </w:rPr>
            </w:pPr>
          </w:p>
        </w:tc>
      </w:tr>
      <w:tr>
        <w:tblPrEx>
          <w:tblCellMar>
            <w:top w:w="0" w:type="dxa"/>
            <w:left w:w="108" w:type="dxa"/>
            <w:bottom w:w="0" w:type="dxa"/>
            <w:right w:w="108" w:type="dxa"/>
          </w:tblCellMar>
        </w:tblPrEx>
        <w:trPr>
          <w:trHeight w:val="304" w:hRule="atLeast"/>
        </w:trPr>
        <w:tc>
          <w:tcPr>
            <w:tcW w:w="469"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服务名称</w:t>
            </w:r>
          </w:p>
        </w:tc>
        <w:tc>
          <w:tcPr>
            <w:tcW w:w="823"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规格型号</w:t>
            </w:r>
          </w:p>
        </w:tc>
        <w:tc>
          <w:tcPr>
            <w:tcW w:w="387"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数量</w:t>
            </w:r>
          </w:p>
        </w:tc>
        <w:tc>
          <w:tcPr>
            <w:tcW w:w="52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单价（元</w:t>
            </w:r>
            <w:r>
              <w:rPr>
                <w:rFonts w:hint="eastAsia" w:ascii="等线" w:hAnsi="等线" w:eastAsia="等线" w:cs="宋体"/>
                <w:b/>
                <w:bCs/>
                <w:color w:val="000000"/>
                <w:kern w:val="0"/>
                <w:sz w:val="22"/>
                <w:szCs w:val="22"/>
              </w:rPr>
              <w:t>/</w:t>
            </w:r>
            <w:r>
              <w:rPr>
                <w:rFonts w:hint="eastAsia" w:ascii="宋体" w:hAnsi="宋体" w:eastAsia="宋体" w:cs="宋体"/>
                <w:b/>
                <w:bCs/>
                <w:color w:val="000000"/>
                <w:kern w:val="0"/>
                <w:sz w:val="22"/>
                <w:szCs w:val="22"/>
              </w:rPr>
              <w:t>年）</w:t>
            </w:r>
          </w:p>
        </w:tc>
        <w:tc>
          <w:tcPr>
            <w:tcW w:w="62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总价（元</w:t>
            </w:r>
            <w:r>
              <w:rPr>
                <w:rFonts w:hint="eastAsia" w:ascii="等线" w:hAnsi="等线" w:eastAsia="等线" w:cs="宋体"/>
                <w:b/>
                <w:bCs/>
                <w:color w:val="000000"/>
                <w:kern w:val="0"/>
                <w:sz w:val="22"/>
                <w:szCs w:val="22"/>
              </w:rPr>
              <w:t>/</w:t>
            </w:r>
            <w:r>
              <w:rPr>
                <w:rFonts w:hint="eastAsia" w:ascii="宋体" w:hAnsi="宋体" w:eastAsia="宋体" w:cs="宋体"/>
                <w:b/>
                <w:bCs/>
                <w:color w:val="000000"/>
                <w:kern w:val="0"/>
                <w:sz w:val="22"/>
                <w:szCs w:val="22"/>
              </w:rPr>
              <w:t>年）</w:t>
            </w:r>
          </w:p>
        </w:tc>
        <w:tc>
          <w:tcPr>
            <w:tcW w:w="2168"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2"/>
                <w:szCs w:val="22"/>
                <w:lang w:val="en-US" w:eastAsia="zh-CN" w:bidi="ar-SA"/>
              </w:rPr>
            </w:pPr>
            <w:r>
              <w:rPr>
                <w:rFonts w:hint="eastAsia" w:ascii="宋体" w:hAnsi="宋体" w:eastAsia="宋体" w:cs="宋体"/>
                <w:b/>
                <w:bCs/>
                <w:color w:val="000000"/>
                <w:kern w:val="0"/>
                <w:sz w:val="22"/>
                <w:szCs w:val="22"/>
              </w:rPr>
              <w:t>备注</w:t>
            </w:r>
          </w:p>
        </w:tc>
      </w:tr>
      <w:tr>
        <w:tblPrEx>
          <w:tblCellMar>
            <w:top w:w="0" w:type="dxa"/>
            <w:left w:w="108" w:type="dxa"/>
            <w:bottom w:w="0" w:type="dxa"/>
            <w:right w:w="108" w:type="dxa"/>
          </w:tblCellMar>
        </w:tblPrEx>
        <w:trPr>
          <w:trHeight w:val="304" w:hRule="atLeast"/>
        </w:trPr>
        <w:tc>
          <w:tcPr>
            <w:tcW w:w="469"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云主机1</w:t>
            </w:r>
          </w:p>
        </w:tc>
        <w:tc>
          <w:tcPr>
            <w:tcW w:w="82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16</w:t>
            </w:r>
            <w:r>
              <w:rPr>
                <w:rFonts w:hint="eastAsia" w:ascii="宋体" w:hAnsi="宋体" w:eastAsia="宋体" w:cs="宋体"/>
                <w:color w:val="000000"/>
                <w:kern w:val="0"/>
                <w:sz w:val="20"/>
                <w:szCs w:val="20"/>
              </w:rPr>
              <w:t xml:space="preserve">核 </w:t>
            </w:r>
            <w:r>
              <w:rPr>
                <w:rFonts w:hint="eastAsia" w:ascii="宋体" w:hAnsi="宋体" w:eastAsia="宋体" w:cs="宋体"/>
                <w:color w:val="000000"/>
                <w:kern w:val="0"/>
                <w:sz w:val="20"/>
                <w:szCs w:val="20"/>
                <w:lang w:val="en-US" w:eastAsia="zh-CN"/>
              </w:rPr>
              <w:t>64</w:t>
            </w:r>
            <w:r>
              <w:rPr>
                <w:rFonts w:hint="eastAsia" w:ascii="宋体" w:hAnsi="宋体" w:eastAsia="宋体" w:cs="宋体"/>
                <w:color w:val="000000"/>
                <w:kern w:val="0"/>
                <w:sz w:val="20"/>
                <w:szCs w:val="20"/>
              </w:rPr>
              <w:t>G</w:t>
            </w:r>
          </w:p>
        </w:tc>
        <w:tc>
          <w:tcPr>
            <w:tcW w:w="387"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1台</w:t>
            </w:r>
          </w:p>
        </w:tc>
        <w:tc>
          <w:tcPr>
            <w:tcW w:w="52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62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216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304" w:hRule="atLeast"/>
        </w:trPr>
        <w:tc>
          <w:tcPr>
            <w:tcW w:w="469" w:type="pc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云主机2</w:t>
            </w:r>
          </w:p>
        </w:tc>
        <w:tc>
          <w:tcPr>
            <w:tcW w:w="82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8</w:t>
            </w:r>
            <w:r>
              <w:rPr>
                <w:rFonts w:hint="eastAsia" w:ascii="宋体" w:hAnsi="宋体" w:eastAsia="宋体" w:cs="宋体"/>
                <w:color w:val="000000"/>
                <w:kern w:val="0"/>
                <w:sz w:val="20"/>
                <w:szCs w:val="20"/>
              </w:rPr>
              <w:t>核 32G</w:t>
            </w:r>
          </w:p>
        </w:tc>
        <w:tc>
          <w:tcPr>
            <w:tcW w:w="387"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1台</w:t>
            </w:r>
          </w:p>
        </w:tc>
        <w:tc>
          <w:tcPr>
            <w:tcW w:w="52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62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216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304" w:hRule="atLeast"/>
        </w:trPr>
        <w:tc>
          <w:tcPr>
            <w:tcW w:w="469"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云主机3</w:t>
            </w:r>
          </w:p>
        </w:tc>
        <w:tc>
          <w:tcPr>
            <w:tcW w:w="82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8</w:t>
            </w:r>
            <w:r>
              <w:rPr>
                <w:rFonts w:hint="eastAsia" w:ascii="宋体" w:hAnsi="宋体" w:eastAsia="宋体" w:cs="宋体"/>
                <w:color w:val="000000"/>
                <w:kern w:val="0"/>
                <w:sz w:val="20"/>
                <w:szCs w:val="20"/>
              </w:rPr>
              <w:t xml:space="preserve">核 </w:t>
            </w:r>
            <w:r>
              <w:rPr>
                <w:rFonts w:hint="eastAsia" w:ascii="宋体" w:hAnsi="宋体" w:eastAsia="宋体" w:cs="宋体"/>
                <w:color w:val="000000"/>
                <w:kern w:val="0"/>
                <w:sz w:val="20"/>
                <w:szCs w:val="20"/>
                <w:lang w:val="en-US" w:eastAsia="zh-CN"/>
              </w:rPr>
              <w:t>32</w:t>
            </w:r>
            <w:r>
              <w:rPr>
                <w:rFonts w:hint="eastAsia" w:ascii="宋体" w:hAnsi="宋体" w:eastAsia="宋体" w:cs="宋体"/>
                <w:color w:val="000000"/>
                <w:kern w:val="0"/>
                <w:sz w:val="20"/>
                <w:szCs w:val="20"/>
              </w:rPr>
              <w:t>G</w:t>
            </w:r>
          </w:p>
        </w:tc>
        <w:tc>
          <w:tcPr>
            <w:tcW w:w="387"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1台</w:t>
            </w:r>
          </w:p>
        </w:tc>
        <w:tc>
          <w:tcPr>
            <w:tcW w:w="52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62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216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304" w:hRule="atLeast"/>
        </w:trPr>
        <w:tc>
          <w:tcPr>
            <w:tcW w:w="469"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云专线</w:t>
            </w:r>
          </w:p>
        </w:tc>
        <w:tc>
          <w:tcPr>
            <w:tcW w:w="823"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20M；PTN专线</w:t>
            </w:r>
          </w:p>
        </w:tc>
        <w:tc>
          <w:tcPr>
            <w:tcW w:w="387"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1条</w:t>
            </w:r>
          </w:p>
        </w:tc>
        <w:tc>
          <w:tcPr>
            <w:tcW w:w="52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62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216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r>
      <w:tr>
        <w:tblPrEx>
          <w:tblCellMar>
            <w:top w:w="0" w:type="dxa"/>
            <w:left w:w="108" w:type="dxa"/>
            <w:bottom w:w="0" w:type="dxa"/>
            <w:right w:w="108" w:type="dxa"/>
          </w:tblCellMar>
        </w:tblPrEx>
        <w:trPr>
          <w:trHeight w:val="304" w:hRule="atLeast"/>
        </w:trPr>
        <w:tc>
          <w:tcPr>
            <w:tcW w:w="469"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云</w:t>
            </w:r>
            <w:r>
              <w:rPr>
                <w:rFonts w:hint="eastAsia" w:ascii="宋体" w:hAnsi="宋体" w:eastAsia="宋体" w:cs="宋体"/>
                <w:color w:val="000000"/>
                <w:kern w:val="0"/>
                <w:sz w:val="20"/>
                <w:szCs w:val="20"/>
                <w:lang w:val="en-US" w:eastAsia="zh-CN"/>
              </w:rPr>
              <w:t>系统盘</w:t>
            </w:r>
          </w:p>
        </w:tc>
        <w:tc>
          <w:tcPr>
            <w:tcW w:w="82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高性能</w:t>
            </w:r>
            <w:r>
              <w:rPr>
                <w:rFonts w:hint="eastAsia" w:ascii="宋体" w:hAnsi="宋体" w:eastAsia="宋体" w:cs="宋体"/>
                <w:color w:val="000000"/>
                <w:kern w:val="0"/>
                <w:sz w:val="20"/>
                <w:szCs w:val="20"/>
              </w:rPr>
              <w:t>云主机存储</w:t>
            </w:r>
          </w:p>
        </w:tc>
        <w:tc>
          <w:tcPr>
            <w:tcW w:w="387"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600</w:t>
            </w:r>
            <w:r>
              <w:rPr>
                <w:rFonts w:hint="eastAsia" w:ascii="宋体" w:hAnsi="宋体" w:eastAsia="宋体" w:cs="宋体"/>
                <w:color w:val="000000"/>
                <w:kern w:val="0"/>
                <w:sz w:val="20"/>
                <w:szCs w:val="20"/>
              </w:rPr>
              <w:t>G</w:t>
            </w:r>
          </w:p>
        </w:tc>
        <w:tc>
          <w:tcPr>
            <w:tcW w:w="52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62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216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304" w:hRule="atLeast"/>
        </w:trPr>
        <w:tc>
          <w:tcPr>
            <w:tcW w:w="469"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云</w:t>
            </w:r>
            <w:r>
              <w:rPr>
                <w:rFonts w:hint="eastAsia" w:ascii="宋体" w:hAnsi="宋体" w:eastAsia="宋体" w:cs="宋体"/>
                <w:color w:val="000000"/>
                <w:kern w:val="0"/>
                <w:sz w:val="20"/>
                <w:szCs w:val="20"/>
                <w:lang w:val="en-US" w:eastAsia="zh-CN"/>
              </w:rPr>
              <w:t>数据盘</w:t>
            </w:r>
          </w:p>
        </w:tc>
        <w:tc>
          <w:tcPr>
            <w:tcW w:w="823"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标准性能</w:t>
            </w:r>
            <w:r>
              <w:rPr>
                <w:rFonts w:hint="eastAsia" w:ascii="宋体" w:hAnsi="宋体" w:eastAsia="宋体" w:cs="宋体"/>
                <w:color w:val="000000"/>
                <w:kern w:val="0"/>
                <w:sz w:val="20"/>
                <w:szCs w:val="20"/>
              </w:rPr>
              <w:t>云主机存储</w:t>
            </w:r>
          </w:p>
        </w:tc>
        <w:tc>
          <w:tcPr>
            <w:tcW w:w="387"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6000</w:t>
            </w:r>
            <w:r>
              <w:rPr>
                <w:rFonts w:hint="eastAsia" w:ascii="宋体" w:hAnsi="宋体" w:eastAsia="宋体" w:cs="宋体"/>
                <w:color w:val="000000"/>
                <w:kern w:val="0"/>
                <w:sz w:val="20"/>
                <w:szCs w:val="20"/>
              </w:rPr>
              <w:t>G</w:t>
            </w:r>
          </w:p>
        </w:tc>
        <w:tc>
          <w:tcPr>
            <w:tcW w:w="52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62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216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304" w:hRule="atLeast"/>
        </w:trPr>
        <w:tc>
          <w:tcPr>
            <w:tcW w:w="469"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0"/>
                <w:szCs w:val="20"/>
                <w:lang w:val="en-US"/>
              </w:rPr>
            </w:pPr>
            <w:r>
              <w:rPr>
                <w:rFonts w:hint="eastAsia" w:ascii="宋体" w:hAnsi="宋体" w:eastAsia="宋体" w:cs="宋体"/>
                <w:color w:val="000000"/>
                <w:kern w:val="0"/>
                <w:sz w:val="20"/>
                <w:szCs w:val="20"/>
                <w:lang w:val="en-US" w:eastAsia="zh-CN"/>
              </w:rPr>
              <w:t>云安全中心</w:t>
            </w:r>
          </w:p>
        </w:tc>
        <w:tc>
          <w:tcPr>
            <w:tcW w:w="823"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提供对云主机</w:t>
            </w:r>
            <w:r>
              <w:rPr>
                <w:rFonts w:hint="eastAsia" w:ascii="宋体" w:hAnsi="宋体" w:eastAsia="宋体" w:cs="宋体"/>
                <w:color w:val="000000"/>
                <w:kern w:val="0"/>
                <w:sz w:val="20"/>
                <w:szCs w:val="20"/>
                <w:lang w:val="en-US" w:eastAsia="zh-CN"/>
              </w:rPr>
              <w:t>安全加固</w:t>
            </w:r>
          </w:p>
        </w:tc>
        <w:tc>
          <w:tcPr>
            <w:tcW w:w="387"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0"/>
                <w:szCs w:val="20"/>
                <w:lang w:val="en-US"/>
              </w:rPr>
            </w:pPr>
            <w:r>
              <w:rPr>
                <w:rFonts w:hint="eastAsia" w:ascii="宋体" w:hAnsi="宋体" w:eastAsia="宋体" w:cs="宋体"/>
                <w:color w:val="000000"/>
                <w:kern w:val="0"/>
                <w:sz w:val="20"/>
                <w:szCs w:val="20"/>
                <w:lang w:val="en-US" w:eastAsia="zh-CN"/>
              </w:rPr>
              <w:t>1个</w:t>
            </w:r>
          </w:p>
        </w:tc>
        <w:tc>
          <w:tcPr>
            <w:tcW w:w="528"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62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2168" w:type="pct"/>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lang w:val="en-US" w:eastAsia="zh-CN"/>
              </w:rPr>
              <w:t>提供资产统一监控、</w:t>
            </w:r>
            <w:r>
              <w:rPr>
                <w:rFonts w:hint="eastAsia" w:ascii="宋体" w:hAnsi="宋体" w:eastAsia="宋体" w:cs="宋体"/>
                <w:color w:val="000000"/>
                <w:kern w:val="0"/>
                <w:sz w:val="20"/>
                <w:szCs w:val="20"/>
              </w:rPr>
              <w:t>实时告警</w:t>
            </w:r>
            <w:r>
              <w:rPr>
                <w:rFonts w:hint="eastAsia" w:ascii="宋体" w:hAnsi="宋体" w:eastAsia="宋体" w:cs="宋体"/>
                <w:color w:val="000000"/>
                <w:kern w:val="0"/>
                <w:sz w:val="20"/>
                <w:szCs w:val="20"/>
                <w:lang w:eastAsia="zh-CN"/>
              </w:rPr>
              <w:t>、</w:t>
            </w:r>
            <w:r>
              <w:rPr>
                <w:rFonts w:hint="eastAsia" w:ascii="宋体" w:hAnsi="宋体" w:eastAsia="宋体" w:cs="宋体"/>
                <w:color w:val="000000"/>
                <w:kern w:val="0"/>
                <w:sz w:val="20"/>
                <w:szCs w:val="20"/>
              </w:rPr>
              <w:t>提供漏洞、补丁检测</w:t>
            </w:r>
            <w:r>
              <w:rPr>
                <w:rFonts w:hint="eastAsia" w:ascii="宋体" w:hAnsi="宋体" w:eastAsia="宋体" w:cs="宋体"/>
                <w:color w:val="000000"/>
                <w:kern w:val="0"/>
                <w:sz w:val="20"/>
                <w:szCs w:val="20"/>
                <w:lang w:val="en-US" w:eastAsia="zh-CN"/>
              </w:rPr>
              <w:t>等云安全服务</w:t>
            </w:r>
          </w:p>
        </w:tc>
      </w:tr>
      <w:tr>
        <w:tblPrEx>
          <w:tblCellMar>
            <w:top w:w="0" w:type="dxa"/>
            <w:left w:w="108" w:type="dxa"/>
            <w:bottom w:w="0" w:type="dxa"/>
            <w:right w:w="108" w:type="dxa"/>
          </w:tblCellMar>
        </w:tblPrEx>
        <w:trPr>
          <w:trHeight w:val="90" w:hRule="atLeast"/>
        </w:trPr>
        <w:tc>
          <w:tcPr>
            <w:tcW w:w="1680"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rPr>
            </w:pPr>
            <w:r>
              <w:rPr>
                <w:rFonts w:hint="eastAsia" w:ascii="仿宋" w:hAnsi="仿宋"/>
                <w:color w:val="000000" w:themeColor="text1"/>
                <w:sz w:val="24"/>
                <w:szCs w:val="24"/>
                <w14:textFill>
                  <w14:solidFill>
                    <w14:schemeClr w14:val="tx1"/>
                  </w14:solidFill>
                </w14:textFill>
              </w:rPr>
              <w:t>合计</w:t>
            </w:r>
          </w:p>
        </w:tc>
        <w:tc>
          <w:tcPr>
            <w:tcW w:w="52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62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2168"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r>
    </w:tbl>
    <w:p>
      <w:pPr>
        <w:jc w:val="left"/>
        <w:rPr>
          <w:rFonts w:hint="eastAsia" w:ascii="黑体" w:hAnsi="黑体" w:eastAsia="黑体" w:cs="黑体"/>
          <w:color w:val="000000" w:themeColor="text1"/>
          <w:sz w:val="28"/>
          <w:szCs w:val="28"/>
          <w14:textFill>
            <w14:solidFill>
              <w14:schemeClr w14:val="tx1"/>
            </w14:solidFill>
          </w14:textFill>
        </w:rPr>
      </w:pPr>
    </w:p>
    <w:p>
      <w:pPr>
        <w:jc w:val="left"/>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lang w:val="en-US" w:eastAsia="zh-CN"/>
          <w14:textFill>
            <w14:solidFill>
              <w14:schemeClr w14:val="tx1"/>
            </w14:solidFill>
          </w14:textFill>
        </w:rPr>
        <w:t>四</w:t>
      </w:r>
      <w:r>
        <w:rPr>
          <w:rFonts w:hint="eastAsia" w:ascii="黑体" w:hAnsi="黑体" w:eastAsia="黑体" w:cs="黑体"/>
          <w:color w:val="000000" w:themeColor="text1"/>
          <w:sz w:val="28"/>
          <w:szCs w:val="28"/>
          <w14:textFill>
            <w14:solidFill>
              <w14:schemeClr w14:val="tx1"/>
            </w14:solidFill>
          </w14:textFill>
        </w:rPr>
        <w:t>、服务需求（必填项）</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仿宋" w:hAnsi="仿宋" w:eastAsia="仿宋" w:cs="Times New Roman"/>
          <w:color w:val="000000" w:themeColor="text1"/>
          <w:sz w:val="28"/>
          <w:szCs w:val="28"/>
          <w14:textFill>
            <w14:solidFill>
              <w14:schemeClr w14:val="tx1"/>
            </w14:solidFill>
          </w14:textFill>
        </w:rPr>
      </w:pPr>
      <w:r>
        <w:rPr>
          <w:rFonts w:hint="eastAsia" w:ascii="仿宋" w:hAnsi="仿宋" w:eastAsia="仿宋" w:cs="Times New Roman"/>
          <w:color w:val="000000" w:themeColor="text1"/>
          <w:sz w:val="28"/>
          <w:szCs w:val="28"/>
          <w14:textFill>
            <w14:solidFill>
              <w14:schemeClr w14:val="tx1"/>
            </w14:solidFill>
          </w14:textFill>
        </w:rPr>
        <w:t>符合国家和行业相关规定。</w:t>
      </w:r>
    </w:p>
    <w:p>
      <w:pPr>
        <w:jc w:val="left"/>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lang w:val="en-US" w:eastAsia="zh-CN"/>
          <w14:textFill>
            <w14:solidFill>
              <w14:schemeClr w14:val="tx1"/>
            </w14:solidFill>
          </w14:textFill>
        </w:rPr>
        <w:t>五</w:t>
      </w:r>
      <w:r>
        <w:rPr>
          <w:rFonts w:hint="eastAsia" w:ascii="黑体" w:hAnsi="黑体" w:eastAsia="黑体" w:cs="黑体"/>
          <w:color w:val="000000" w:themeColor="text1"/>
          <w:sz w:val="28"/>
          <w:szCs w:val="28"/>
          <w14:textFill>
            <w14:solidFill>
              <w14:schemeClr w14:val="tx1"/>
            </w14:solidFill>
          </w14:textFill>
        </w:rPr>
        <w:t>、报价要求</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w:t>
      </w:r>
      <w:r>
        <w:rPr>
          <w:rFonts w:hint="eastAsia" w:ascii="仿宋" w:hAnsi="仿宋" w:eastAsia="仿宋"/>
          <w:color w:val="000000" w:themeColor="text1"/>
          <w:sz w:val="28"/>
          <w:szCs w:val="28"/>
          <w:lang w:val="en-US" w:eastAsia="zh-CN"/>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费用：各投标人须根据相关标准自行测算，并符合国家和地方及行业相关技术规范要求，包含在投标</w:t>
      </w:r>
      <w:r>
        <w:rPr>
          <w:rFonts w:hint="eastAsia" w:ascii="仿宋" w:hAnsi="仿宋" w:eastAsia="仿宋"/>
          <w:color w:val="000000" w:themeColor="text1"/>
          <w:sz w:val="28"/>
          <w:szCs w:val="28"/>
          <w:lang w:eastAsia="zh-CN"/>
          <w14:textFill>
            <w14:solidFill>
              <w14:schemeClr w14:val="tx1"/>
            </w14:solidFill>
          </w14:textFill>
        </w:rPr>
        <w:t>单</w:t>
      </w:r>
      <w:r>
        <w:rPr>
          <w:rFonts w:hint="eastAsia" w:ascii="仿宋" w:hAnsi="仿宋" w:eastAsia="仿宋"/>
          <w:color w:val="000000" w:themeColor="text1"/>
          <w:sz w:val="28"/>
          <w:szCs w:val="28"/>
          <w14:textFill>
            <w14:solidFill>
              <w14:schemeClr w14:val="tx1"/>
            </w14:solidFill>
          </w14:textFill>
        </w:rPr>
        <w:t>价中，</w:t>
      </w:r>
      <w:r>
        <w:rPr>
          <w:rFonts w:hint="eastAsia" w:ascii="仿宋" w:hAnsi="仿宋" w:eastAsia="仿宋"/>
          <w:color w:val="000000" w:themeColor="text1"/>
          <w:sz w:val="28"/>
          <w:szCs w:val="28"/>
          <w:lang w:eastAsia="zh-CN"/>
          <w14:textFill>
            <w14:solidFill>
              <w14:schemeClr w14:val="tx1"/>
            </w14:solidFill>
          </w14:textFill>
        </w:rPr>
        <w:t>单</w:t>
      </w:r>
      <w:r>
        <w:rPr>
          <w:rFonts w:hint="eastAsia" w:ascii="仿宋" w:hAnsi="仿宋" w:eastAsia="仿宋"/>
          <w:color w:val="000000" w:themeColor="text1"/>
          <w:sz w:val="28"/>
          <w:szCs w:val="28"/>
          <w14:textFill>
            <w14:solidFill>
              <w14:schemeClr w14:val="tx1"/>
            </w14:solidFill>
          </w14:textFill>
        </w:rPr>
        <w:t>价包干，</w:t>
      </w:r>
      <w:r>
        <w:rPr>
          <w:rFonts w:hint="eastAsia" w:ascii="仿宋" w:hAnsi="仿宋" w:eastAsia="仿宋"/>
          <w:color w:val="000000" w:themeColor="text1"/>
          <w:sz w:val="28"/>
          <w:szCs w:val="28"/>
          <w:lang w:eastAsia="zh-CN"/>
          <w14:textFill>
            <w14:solidFill>
              <w14:schemeClr w14:val="tx1"/>
            </w14:solidFill>
          </w14:textFill>
        </w:rPr>
        <w:t>数量根据每年实际人数进行结算，</w:t>
      </w:r>
      <w:r>
        <w:rPr>
          <w:rFonts w:hint="eastAsia" w:ascii="仿宋" w:hAnsi="仿宋" w:eastAsia="仿宋"/>
          <w:color w:val="000000" w:themeColor="text1"/>
          <w:sz w:val="28"/>
          <w:szCs w:val="28"/>
          <w14:textFill>
            <w14:solidFill>
              <w14:schemeClr w14:val="tx1"/>
            </w14:solidFill>
          </w14:textFill>
        </w:rPr>
        <w:t>中标后中标人不得以任何理由提出价款变更。</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w:t>
      </w:r>
      <w:r>
        <w:rPr>
          <w:rFonts w:hint="eastAsia" w:ascii="仿宋" w:hAnsi="仿宋" w:eastAsia="仿宋"/>
          <w:color w:val="000000" w:themeColor="text1"/>
          <w:sz w:val="28"/>
          <w:szCs w:val="28"/>
          <w:lang w:val="en-US" w:eastAsia="zh-CN"/>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在投标前应自行、全面、了解工程的实际情况，并承担所有风险。招标人认为其他应当考虑的费用。</w:t>
      </w:r>
    </w:p>
    <w:p>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auto"/>
          <w:sz w:val="28"/>
          <w:szCs w:val="28"/>
          <w:lang w:val="en-US" w:eastAsia="zh-CN"/>
        </w:rPr>
        <w:t>3.</w:t>
      </w:r>
      <w:r>
        <w:rPr>
          <w:rFonts w:hint="eastAsia" w:ascii="仿宋" w:hAnsi="仿宋" w:eastAsia="仿宋"/>
          <w:color w:val="000000" w:themeColor="text1"/>
          <w:sz w:val="28"/>
          <w:szCs w:val="28"/>
          <w14:textFill>
            <w14:solidFill>
              <w14:schemeClr w14:val="tx1"/>
            </w14:solidFill>
          </w14:textFill>
        </w:rPr>
        <w:t>本项目的投标报价采用</w:t>
      </w:r>
      <w:r>
        <w:rPr>
          <w:rFonts w:hint="eastAsia" w:ascii="仿宋" w:hAnsi="仿宋" w:eastAsia="仿宋"/>
          <w:color w:val="000000" w:themeColor="text1"/>
          <w:sz w:val="28"/>
          <w:szCs w:val="28"/>
          <w:lang w:eastAsia="zh-CN"/>
          <w14:textFill>
            <w14:solidFill>
              <w14:schemeClr w14:val="tx1"/>
            </w14:solidFill>
          </w14:textFill>
        </w:rPr>
        <w:t>单</w:t>
      </w:r>
      <w:r>
        <w:rPr>
          <w:rFonts w:hint="eastAsia" w:ascii="仿宋" w:hAnsi="仿宋" w:eastAsia="仿宋"/>
          <w:color w:val="000000" w:themeColor="text1"/>
          <w:sz w:val="28"/>
          <w:szCs w:val="28"/>
          <w14:textFill>
            <w14:solidFill>
              <w14:schemeClr w14:val="tx1"/>
            </w14:solidFill>
          </w14:textFill>
        </w:rPr>
        <w:t>价报价方式，即完成项目服务所需的材料、设施设备、劳务、利润、税金、政策性文件规定及合同包含的所有风险、责任、义务等一切</w:t>
      </w:r>
      <w:r>
        <w:rPr>
          <w:rFonts w:hint="eastAsia" w:ascii="仿宋" w:hAnsi="仿宋" w:eastAsia="仿宋"/>
          <w:color w:val="auto"/>
          <w:sz w:val="28"/>
          <w:szCs w:val="28"/>
          <w:lang w:eastAsia="zh-CN"/>
        </w:rPr>
        <w:t>所</w:t>
      </w:r>
      <w:r>
        <w:rPr>
          <w:rFonts w:hint="eastAsia" w:ascii="仿宋" w:hAnsi="仿宋" w:eastAsia="仿宋"/>
          <w:color w:val="auto"/>
          <w:sz w:val="28"/>
          <w:szCs w:val="28"/>
        </w:rPr>
        <w:t>有</w:t>
      </w:r>
      <w:r>
        <w:rPr>
          <w:rFonts w:hint="eastAsia" w:ascii="仿宋" w:hAnsi="仿宋" w:eastAsia="仿宋"/>
          <w:color w:val="000000" w:themeColor="text1"/>
          <w:sz w:val="28"/>
          <w:szCs w:val="28"/>
          <w14:textFill>
            <w14:solidFill>
              <w14:schemeClr w14:val="tx1"/>
            </w14:solidFill>
          </w14:textFill>
        </w:rPr>
        <w:t>费用，包含但不限于以上内容。</w:t>
      </w:r>
    </w:p>
    <w:p>
      <w:pPr>
        <w:jc w:val="both"/>
        <w:rPr>
          <w:rFonts w:ascii="仿宋" w:hAnsi="仿宋" w:eastAsia="仿宋"/>
          <w:color w:val="000000" w:themeColor="text1"/>
          <w:sz w:val="28"/>
          <w:szCs w:val="28"/>
          <w14:textFill>
            <w14:solidFill>
              <w14:schemeClr w14:val="tx1"/>
            </w14:solidFill>
          </w14:textFill>
        </w:rPr>
      </w:pPr>
    </w:p>
    <w:p>
      <w:pPr>
        <w:rPr>
          <w:rFonts w:hint="eastAsia" w:ascii="华文中宋" w:hAnsi="华文中宋" w:eastAsia="华文中宋"/>
          <w:b w:val="0"/>
        </w:rPr>
      </w:pPr>
      <w:r>
        <w:rPr>
          <w:rFonts w:hint="eastAsia" w:ascii="华文中宋" w:hAnsi="华文中宋" w:eastAsia="华文中宋"/>
          <w:b w:val="0"/>
        </w:rPr>
        <w:br w:type="page"/>
      </w:r>
    </w:p>
    <w:p>
      <w:pPr>
        <w:pStyle w:val="4"/>
        <w:rPr>
          <w:rFonts w:ascii="华文中宋" w:hAnsi="华文中宋" w:eastAsia="华文中宋"/>
          <w:b w:val="0"/>
        </w:rPr>
      </w:pPr>
      <w:bookmarkStart w:id="34" w:name="_Toc32458"/>
      <w:r>
        <w:rPr>
          <w:rFonts w:hint="eastAsia" w:ascii="华文中宋" w:hAnsi="华文中宋" w:eastAsia="华文中宋"/>
          <w:b w:val="0"/>
        </w:rPr>
        <w:t>第四章 评标方法和标准</w:t>
      </w:r>
      <w:bookmarkEnd w:id="34"/>
    </w:p>
    <w:p>
      <w:pPr>
        <w:ind w:firstLine="560" w:firstLineChars="20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一、总则</w:t>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本项目将按照磋商文件第</w:t>
      </w:r>
      <w:r>
        <w:rPr>
          <w:rFonts w:hint="eastAsia" w:ascii="仿宋" w:hAnsi="仿宋" w:eastAsia="仿宋"/>
          <w:color w:val="000000" w:themeColor="text1"/>
          <w:sz w:val="28"/>
          <w:szCs w:val="28"/>
          <w:lang w:val="en-US" w:eastAsia="zh-CN"/>
          <w14:textFill>
            <w14:solidFill>
              <w14:schemeClr w14:val="tx1"/>
            </w14:solidFill>
          </w14:textFill>
        </w:rPr>
        <w:t>四</w:t>
      </w:r>
      <w:r>
        <w:rPr>
          <w:rFonts w:hint="eastAsia" w:ascii="仿宋" w:hAnsi="仿宋" w:eastAsia="仿宋"/>
          <w:color w:val="000000" w:themeColor="text1"/>
          <w:sz w:val="28"/>
          <w:szCs w:val="28"/>
          <w14:textFill>
            <w14:solidFill>
              <w14:schemeClr w14:val="tx1"/>
            </w14:solidFill>
          </w14:textFill>
        </w:rPr>
        <w:t>章 供应商须知的相关要求</w:t>
      </w:r>
      <w:r>
        <w:rPr>
          <w:rFonts w:ascii="仿宋" w:hAnsi="仿宋" w:eastAsia="仿宋"/>
          <w:color w:val="000000" w:themeColor="text1"/>
          <w:sz w:val="28"/>
          <w:szCs w:val="28"/>
          <w14:textFill>
            <w14:solidFill>
              <w14:schemeClr w14:val="tx1"/>
            </w14:solidFill>
          </w14:textFill>
        </w:rPr>
        <w:t>及本章的规定</w:t>
      </w:r>
      <w:r>
        <w:rPr>
          <w:rFonts w:hint="eastAsia" w:ascii="仿宋" w:hAnsi="仿宋" w:eastAsia="仿宋"/>
          <w:color w:val="000000" w:themeColor="text1"/>
          <w:sz w:val="28"/>
          <w:szCs w:val="28"/>
          <w14:textFill>
            <w14:solidFill>
              <w14:schemeClr w14:val="tx1"/>
            </w14:solidFill>
          </w14:textFill>
        </w:rPr>
        <w:t>评审</w:t>
      </w:r>
      <w:r>
        <w:rPr>
          <w:rFonts w:ascii="仿宋" w:hAnsi="仿宋" w:eastAsia="仿宋"/>
          <w:color w:val="000000" w:themeColor="text1"/>
          <w:sz w:val="28"/>
          <w:szCs w:val="28"/>
          <w14:textFill>
            <w14:solidFill>
              <w14:schemeClr w14:val="tx1"/>
            </w14:solidFill>
          </w14:textFill>
        </w:rPr>
        <w:t>。</w:t>
      </w:r>
    </w:p>
    <w:p>
      <w:pPr>
        <w:ind w:firstLine="560" w:firstLineChars="200"/>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二、评审方法</w:t>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2.1初审</w:t>
      </w:r>
    </w:p>
    <w:p>
      <w:pPr>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磋商小组对供应商的响应文件进行初审，以确定其是否满足磋商文件的实质性要求。初审表如下：</w:t>
      </w:r>
    </w:p>
    <w:tbl>
      <w:tblPr>
        <w:tblStyle w:val="37"/>
        <w:tblW w:w="95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0"/>
        <w:gridCol w:w="1585"/>
        <w:gridCol w:w="2253"/>
        <w:gridCol w:w="1140"/>
        <w:gridCol w:w="3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63" w:type="dxa"/>
            <w:gridSpan w:val="5"/>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初审表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序号</w:t>
            </w:r>
          </w:p>
        </w:tc>
        <w:tc>
          <w:tcPr>
            <w:tcW w:w="1585"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评审指标</w:t>
            </w:r>
          </w:p>
        </w:tc>
        <w:tc>
          <w:tcPr>
            <w:tcW w:w="2253"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评审标准</w:t>
            </w:r>
          </w:p>
        </w:tc>
        <w:tc>
          <w:tcPr>
            <w:tcW w:w="1140" w:type="dxa"/>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是否通过</w:t>
            </w:r>
          </w:p>
        </w:tc>
        <w:tc>
          <w:tcPr>
            <w:tcW w:w="3915"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格式及材料要求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w:t>
            </w:r>
          </w:p>
        </w:tc>
        <w:tc>
          <w:tcPr>
            <w:tcW w:w="1585"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营业执照</w:t>
            </w:r>
          </w:p>
        </w:tc>
        <w:tc>
          <w:tcPr>
            <w:tcW w:w="2253"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合法有效</w:t>
            </w:r>
          </w:p>
        </w:tc>
        <w:tc>
          <w:tcPr>
            <w:tcW w:w="1140" w:type="dxa"/>
          </w:tcPr>
          <w:p>
            <w:pPr>
              <w:spacing w:line="400" w:lineRule="atLeast"/>
              <w:rPr>
                <w:rFonts w:ascii="仿宋" w:hAnsi="仿宋" w:eastAsia="仿宋"/>
                <w:color w:val="000000" w:themeColor="text1"/>
                <w:sz w:val="28"/>
                <w:szCs w:val="28"/>
                <w14:textFill>
                  <w14:solidFill>
                    <w14:schemeClr w14:val="tx1"/>
                  </w14:solidFill>
                </w14:textFill>
              </w:rPr>
            </w:pPr>
          </w:p>
        </w:tc>
        <w:tc>
          <w:tcPr>
            <w:tcW w:w="3915" w:type="dxa"/>
            <w:vMerge w:val="restart"/>
            <w:shd w:val="clear" w:color="auto" w:fill="auto"/>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提供有效的供应商营业执照（或事业单位法人登记证书）和税务登记证的扫描件，应完整的体现出营业执照（或事业单位法人登记证书）和税务登记证的全部内容。已办理“三证合一”登记的，磋商文件中提供营业执照（或事业单位法人登记证书）扫描件即可。联合体参加磋商的联合体各方均须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w:t>
            </w:r>
          </w:p>
        </w:tc>
        <w:tc>
          <w:tcPr>
            <w:tcW w:w="1585"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税务登记证</w:t>
            </w:r>
          </w:p>
        </w:tc>
        <w:tc>
          <w:tcPr>
            <w:tcW w:w="2253"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合法有效</w:t>
            </w:r>
          </w:p>
        </w:tc>
        <w:tc>
          <w:tcPr>
            <w:tcW w:w="1140" w:type="dxa"/>
          </w:tcPr>
          <w:p>
            <w:pPr>
              <w:spacing w:line="400" w:lineRule="atLeast"/>
              <w:rPr>
                <w:rFonts w:ascii="仿宋" w:hAnsi="仿宋" w:eastAsia="仿宋"/>
                <w:color w:val="000000" w:themeColor="text1"/>
                <w:sz w:val="28"/>
                <w:szCs w:val="28"/>
                <w14:textFill>
                  <w14:solidFill>
                    <w14:schemeClr w14:val="tx1"/>
                  </w14:solidFill>
                </w14:textFill>
              </w:rPr>
            </w:pPr>
          </w:p>
        </w:tc>
        <w:tc>
          <w:tcPr>
            <w:tcW w:w="3915" w:type="dxa"/>
            <w:vMerge w:val="continue"/>
            <w:shd w:val="clear" w:color="auto" w:fill="auto"/>
          </w:tcPr>
          <w:p>
            <w:pPr>
              <w:spacing w:line="400" w:lineRule="atLeast"/>
              <w:rPr>
                <w:rFonts w:ascii="仿宋" w:hAnsi="仿宋" w:eastAsia="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w:t>
            </w:r>
          </w:p>
        </w:tc>
        <w:tc>
          <w:tcPr>
            <w:tcW w:w="1585" w:type="dxa"/>
            <w:shd w:val="clear" w:color="auto" w:fill="auto"/>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磋商响应函</w:t>
            </w:r>
          </w:p>
        </w:tc>
        <w:tc>
          <w:tcPr>
            <w:tcW w:w="2253"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符合磋商文件要求</w:t>
            </w:r>
          </w:p>
        </w:tc>
        <w:tc>
          <w:tcPr>
            <w:tcW w:w="1140" w:type="dxa"/>
          </w:tcPr>
          <w:p>
            <w:pPr>
              <w:spacing w:line="400" w:lineRule="atLeast"/>
              <w:jc w:val="center"/>
              <w:rPr>
                <w:rFonts w:ascii="仿宋" w:hAnsi="仿宋" w:eastAsia="仿宋"/>
                <w:color w:val="000000" w:themeColor="text1"/>
                <w:sz w:val="28"/>
                <w:szCs w:val="28"/>
                <w14:textFill>
                  <w14:solidFill>
                    <w14:schemeClr w14:val="tx1"/>
                  </w14:solidFill>
                </w14:textFill>
              </w:rPr>
            </w:pPr>
          </w:p>
        </w:tc>
        <w:tc>
          <w:tcPr>
            <w:tcW w:w="3915"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详见第七章响应文件格式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w:t>
            </w:r>
          </w:p>
        </w:tc>
        <w:tc>
          <w:tcPr>
            <w:tcW w:w="1585" w:type="dxa"/>
            <w:shd w:val="clear" w:color="auto" w:fill="auto"/>
          </w:tcPr>
          <w:p>
            <w:pPr>
              <w:spacing w:line="360" w:lineRule="auto"/>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无重大违法记录声明函、无不良信用记录声明函</w:t>
            </w:r>
          </w:p>
          <w:p>
            <w:pPr>
              <w:spacing w:line="400" w:lineRule="atLeast"/>
              <w:rPr>
                <w:rFonts w:ascii="仿宋" w:hAnsi="仿宋" w:eastAsia="仿宋"/>
                <w:color w:val="000000" w:themeColor="text1"/>
                <w:sz w:val="28"/>
                <w:szCs w:val="28"/>
                <w14:textFill>
                  <w14:solidFill>
                    <w14:schemeClr w14:val="tx1"/>
                  </w14:solidFill>
                </w14:textFill>
              </w:rPr>
            </w:pPr>
          </w:p>
        </w:tc>
        <w:tc>
          <w:tcPr>
            <w:tcW w:w="2253"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符合磋商文件要求</w:t>
            </w:r>
          </w:p>
        </w:tc>
        <w:tc>
          <w:tcPr>
            <w:tcW w:w="1140" w:type="dxa"/>
          </w:tcPr>
          <w:p>
            <w:pPr>
              <w:spacing w:line="400" w:lineRule="atLeast"/>
              <w:jc w:val="center"/>
              <w:rPr>
                <w:rFonts w:ascii="仿宋" w:hAnsi="仿宋" w:eastAsia="仿宋"/>
                <w:color w:val="000000" w:themeColor="text1"/>
                <w:sz w:val="28"/>
                <w:szCs w:val="28"/>
                <w14:textFill>
                  <w14:solidFill>
                    <w14:schemeClr w14:val="tx1"/>
                  </w14:solidFill>
                </w14:textFill>
              </w:rPr>
            </w:pPr>
          </w:p>
        </w:tc>
        <w:tc>
          <w:tcPr>
            <w:tcW w:w="3915"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详见第七章响应文件格式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w:t>
            </w:r>
          </w:p>
        </w:tc>
        <w:tc>
          <w:tcPr>
            <w:tcW w:w="1585" w:type="dxa"/>
            <w:shd w:val="clear" w:color="auto" w:fill="auto"/>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磋商授权书</w:t>
            </w:r>
          </w:p>
        </w:tc>
        <w:tc>
          <w:tcPr>
            <w:tcW w:w="2253"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符合磋商文件要求求</w:t>
            </w:r>
          </w:p>
        </w:tc>
        <w:tc>
          <w:tcPr>
            <w:tcW w:w="1140" w:type="dxa"/>
          </w:tcPr>
          <w:p>
            <w:pPr>
              <w:spacing w:line="400" w:lineRule="atLeast"/>
              <w:jc w:val="center"/>
              <w:rPr>
                <w:rFonts w:ascii="仿宋" w:hAnsi="仿宋" w:eastAsia="仿宋"/>
                <w:color w:val="000000" w:themeColor="text1"/>
                <w:sz w:val="28"/>
                <w:szCs w:val="28"/>
                <w14:textFill>
                  <w14:solidFill>
                    <w14:schemeClr w14:val="tx1"/>
                  </w14:solidFill>
                </w14:textFill>
              </w:rPr>
            </w:pPr>
          </w:p>
        </w:tc>
        <w:tc>
          <w:tcPr>
            <w:tcW w:w="3915"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法定代表人参加磋商的无需此件，提供身份证明扫描件即可。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shd w:val="clear" w:color="auto" w:fill="auto"/>
            <w:vAlign w:val="center"/>
          </w:tcPr>
          <w:p>
            <w:pPr>
              <w:spacing w:line="400" w:lineRule="atLeast"/>
              <w:jc w:val="center"/>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6</w:t>
            </w:r>
          </w:p>
        </w:tc>
        <w:tc>
          <w:tcPr>
            <w:tcW w:w="1585" w:type="dxa"/>
            <w:shd w:val="clear" w:color="auto" w:fill="auto"/>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供应商资质</w:t>
            </w:r>
          </w:p>
        </w:tc>
        <w:tc>
          <w:tcPr>
            <w:tcW w:w="2253"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符合申请人的资格要求中的资质要求</w:t>
            </w:r>
          </w:p>
        </w:tc>
        <w:tc>
          <w:tcPr>
            <w:tcW w:w="1140" w:type="dxa"/>
          </w:tcPr>
          <w:p>
            <w:pPr>
              <w:spacing w:line="400" w:lineRule="atLeast"/>
              <w:rPr>
                <w:rFonts w:ascii="仿宋" w:hAnsi="仿宋" w:eastAsia="仿宋"/>
                <w:color w:val="000000" w:themeColor="text1"/>
                <w:sz w:val="28"/>
                <w:szCs w:val="28"/>
                <w14:textFill>
                  <w14:solidFill>
                    <w14:schemeClr w14:val="tx1"/>
                  </w14:solidFill>
                </w14:textFill>
              </w:rPr>
            </w:pPr>
          </w:p>
        </w:tc>
        <w:tc>
          <w:tcPr>
            <w:tcW w:w="3915"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提供符合供应商资格中要求的资质证书扫描件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shd w:val="clear" w:color="auto" w:fill="auto"/>
            <w:vAlign w:val="center"/>
          </w:tcPr>
          <w:p>
            <w:pPr>
              <w:spacing w:line="400" w:lineRule="atLeast"/>
              <w:jc w:val="center"/>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7</w:t>
            </w:r>
          </w:p>
        </w:tc>
        <w:tc>
          <w:tcPr>
            <w:tcW w:w="1585"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磋商报价</w:t>
            </w:r>
          </w:p>
        </w:tc>
        <w:tc>
          <w:tcPr>
            <w:tcW w:w="2253"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符合磋商文件要求</w:t>
            </w:r>
          </w:p>
        </w:tc>
        <w:tc>
          <w:tcPr>
            <w:tcW w:w="1140" w:type="dxa"/>
          </w:tcPr>
          <w:p>
            <w:pPr>
              <w:spacing w:line="400" w:lineRule="atLeast"/>
              <w:rPr>
                <w:rFonts w:ascii="仿宋" w:hAnsi="仿宋" w:eastAsia="仿宋"/>
                <w:color w:val="000000" w:themeColor="text1"/>
                <w:sz w:val="28"/>
                <w:szCs w:val="28"/>
                <w14:textFill>
                  <w14:solidFill>
                    <w14:schemeClr w14:val="tx1"/>
                  </w14:solidFill>
                </w14:textFill>
              </w:rPr>
            </w:pPr>
          </w:p>
        </w:tc>
        <w:tc>
          <w:tcPr>
            <w:tcW w:w="3915"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详见第七章响应文件格式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shd w:val="clear" w:color="auto" w:fill="auto"/>
            <w:vAlign w:val="center"/>
          </w:tcPr>
          <w:p>
            <w:pPr>
              <w:spacing w:line="400" w:lineRule="atLeast"/>
              <w:jc w:val="center"/>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8</w:t>
            </w:r>
          </w:p>
        </w:tc>
        <w:tc>
          <w:tcPr>
            <w:tcW w:w="1585"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商务响应情况</w:t>
            </w:r>
          </w:p>
        </w:tc>
        <w:tc>
          <w:tcPr>
            <w:tcW w:w="2253"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符合磋商文件采购需求中付款方式、服务期限、服务地点的要求</w:t>
            </w:r>
          </w:p>
        </w:tc>
        <w:tc>
          <w:tcPr>
            <w:tcW w:w="1140" w:type="dxa"/>
          </w:tcPr>
          <w:p>
            <w:pPr>
              <w:spacing w:line="400" w:lineRule="atLeast"/>
              <w:rPr>
                <w:rFonts w:ascii="仿宋" w:hAnsi="仿宋" w:eastAsia="仿宋"/>
                <w:color w:val="000000" w:themeColor="text1"/>
                <w:sz w:val="28"/>
                <w:szCs w:val="28"/>
                <w14:textFill>
                  <w14:solidFill>
                    <w14:schemeClr w14:val="tx1"/>
                  </w14:solidFill>
                </w14:textFill>
              </w:rPr>
            </w:pPr>
          </w:p>
        </w:tc>
        <w:tc>
          <w:tcPr>
            <w:tcW w:w="3915"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详见第七章响应文件格式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0" w:type="dxa"/>
            <w:shd w:val="clear" w:color="auto" w:fill="auto"/>
            <w:vAlign w:val="center"/>
          </w:tcPr>
          <w:p>
            <w:pPr>
              <w:spacing w:line="400" w:lineRule="atLeast"/>
              <w:jc w:val="center"/>
              <w:rPr>
                <w:rFonts w:hint="eastAsia"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9</w:t>
            </w:r>
          </w:p>
        </w:tc>
        <w:tc>
          <w:tcPr>
            <w:tcW w:w="1585"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其他要求</w:t>
            </w:r>
          </w:p>
        </w:tc>
        <w:tc>
          <w:tcPr>
            <w:tcW w:w="2253" w:type="dxa"/>
            <w:shd w:val="clear" w:color="auto" w:fill="auto"/>
            <w:vAlign w:val="center"/>
          </w:tcPr>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符合法律、行政法规规定的其他条件或磋商文件列明的</w:t>
            </w:r>
          </w:p>
          <w:p>
            <w:pPr>
              <w:spacing w:line="400" w:lineRule="atLeas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其他要求</w:t>
            </w:r>
          </w:p>
        </w:tc>
        <w:tc>
          <w:tcPr>
            <w:tcW w:w="1140" w:type="dxa"/>
          </w:tcPr>
          <w:p>
            <w:pPr>
              <w:spacing w:line="400" w:lineRule="atLeast"/>
              <w:jc w:val="center"/>
              <w:rPr>
                <w:rFonts w:ascii="仿宋" w:hAnsi="仿宋" w:eastAsia="仿宋"/>
                <w:color w:val="000000" w:themeColor="text1"/>
                <w:sz w:val="28"/>
                <w:szCs w:val="28"/>
                <w14:textFill>
                  <w14:solidFill>
                    <w14:schemeClr w14:val="tx1"/>
                  </w14:solidFill>
                </w14:textFill>
              </w:rPr>
            </w:pPr>
          </w:p>
        </w:tc>
        <w:tc>
          <w:tcPr>
            <w:tcW w:w="3915" w:type="dxa"/>
            <w:shd w:val="clear" w:color="auto" w:fill="auto"/>
            <w:vAlign w:val="center"/>
          </w:tcPr>
          <w:p>
            <w:pPr>
              <w:spacing w:line="400" w:lineRule="atLeast"/>
              <w:jc w:val="center"/>
              <w:rPr>
                <w:rFonts w:ascii="仿宋" w:hAnsi="仿宋" w:eastAsia="仿宋"/>
                <w:color w:val="000000" w:themeColor="text1"/>
                <w:sz w:val="28"/>
                <w:szCs w:val="28"/>
                <w14:textFill>
                  <w14:solidFill>
                    <w14:schemeClr w14:val="tx1"/>
                  </w14:solidFill>
                </w14:textFill>
              </w:rPr>
            </w:pPr>
          </w:p>
        </w:tc>
      </w:tr>
    </w:tbl>
    <w:p>
      <w:pPr>
        <w:spacing w:line="400" w:lineRule="exact"/>
        <w:ind w:firstLine="592" w:firstLineChars="200"/>
        <w:rPr>
          <w:rFonts w:ascii="仿宋" w:hAnsi="仿宋" w:eastAsia="仿宋"/>
          <w:bCs/>
          <w:color w:val="000000" w:themeColor="text1"/>
          <w:spacing w:val="8"/>
          <w:kern w:val="0"/>
          <w:sz w:val="28"/>
          <w:szCs w:val="28"/>
          <w14:textFill>
            <w14:solidFill>
              <w14:schemeClr w14:val="tx1"/>
            </w14:solidFill>
          </w14:textFill>
        </w:rPr>
      </w:pPr>
      <w:r>
        <w:rPr>
          <w:rFonts w:hint="eastAsia" w:ascii="仿宋" w:hAnsi="仿宋" w:eastAsia="仿宋"/>
          <w:bCs/>
          <w:color w:val="000000" w:themeColor="text1"/>
          <w:spacing w:val="8"/>
          <w:kern w:val="0"/>
          <w:sz w:val="28"/>
          <w:szCs w:val="28"/>
          <w14:textFill>
            <w14:solidFill>
              <w14:schemeClr w14:val="tx1"/>
            </w14:solidFill>
          </w14:textFill>
        </w:rPr>
        <w:t>初审指标通过标准：供应商必须通过初审表中的全部评审指标。</w:t>
      </w:r>
    </w:p>
    <w:p>
      <w:pPr>
        <w:spacing w:line="400" w:lineRule="exact"/>
        <w:ind w:firstLine="592" w:firstLineChars="200"/>
        <w:rPr>
          <w:rFonts w:ascii="仿宋" w:hAnsi="仿宋" w:eastAsia="仿宋"/>
          <w:bCs/>
          <w:color w:val="000000" w:themeColor="text1"/>
          <w:spacing w:val="8"/>
          <w:kern w:val="0"/>
          <w:sz w:val="28"/>
          <w:szCs w:val="28"/>
          <w14:textFill>
            <w14:solidFill>
              <w14:schemeClr w14:val="tx1"/>
            </w14:solidFill>
          </w14:textFill>
        </w:rPr>
      </w:pPr>
      <w:r>
        <w:rPr>
          <w:rFonts w:hint="eastAsia" w:ascii="仿宋" w:hAnsi="仿宋" w:eastAsia="仿宋"/>
          <w:bCs/>
          <w:color w:val="000000" w:themeColor="text1"/>
          <w:spacing w:val="8"/>
          <w:kern w:val="0"/>
          <w:sz w:val="28"/>
          <w:szCs w:val="28"/>
          <w14:textFill>
            <w14:solidFill>
              <w14:schemeClr w14:val="tx1"/>
            </w14:solidFill>
          </w14:textFill>
        </w:rPr>
        <w:t>2.2综合评分</w:t>
      </w:r>
    </w:p>
    <w:p>
      <w:pPr>
        <w:spacing w:line="400" w:lineRule="exact"/>
        <w:ind w:firstLine="592" w:firstLineChars="200"/>
        <w:rPr>
          <w:rFonts w:ascii="仿宋" w:hAnsi="仿宋" w:eastAsia="仿宋"/>
          <w:bCs/>
          <w:color w:val="000000" w:themeColor="text1"/>
          <w:spacing w:val="8"/>
          <w:kern w:val="0"/>
          <w:sz w:val="28"/>
          <w:szCs w:val="28"/>
          <w14:textFill>
            <w14:solidFill>
              <w14:schemeClr w14:val="tx1"/>
            </w14:solidFill>
          </w14:textFill>
        </w:rPr>
      </w:pPr>
      <w:r>
        <w:rPr>
          <w:rFonts w:hint="eastAsia" w:ascii="仿宋" w:hAnsi="仿宋" w:eastAsia="仿宋"/>
          <w:bCs/>
          <w:color w:val="000000" w:themeColor="text1"/>
          <w:spacing w:val="8"/>
          <w:kern w:val="0"/>
          <w:sz w:val="28"/>
          <w:szCs w:val="28"/>
          <w14:textFill>
            <w14:solidFill>
              <w14:schemeClr w14:val="tx1"/>
            </w14:solidFill>
          </w14:textFill>
        </w:rPr>
        <w:t>2</w:t>
      </w:r>
      <w:r>
        <w:rPr>
          <w:rFonts w:ascii="仿宋" w:hAnsi="仿宋" w:eastAsia="仿宋"/>
          <w:bCs/>
          <w:color w:val="000000" w:themeColor="text1"/>
          <w:spacing w:val="8"/>
          <w:kern w:val="0"/>
          <w:sz w:val="28"/>
          <w:szCs w:val="28"/>
          <w14:textFill>
            <w14:solidFill>
              <w14:schemeClr w14:val="tx1"/>
            </w14:solidFill>
          </w14:textFill>
        </w:rPr>
        <w:t>.</w:t>
      </w:r>
      <w:r>
        <w:rPr>
          <w:rFonts w:hint="eastAsia" w:ascii="仿宋" w:hAnsi="仿宋" w:eastAsia="仿宋"/>
          <w:bCs/>
          <w:color w:val="000000" w:themeColor="text1"/>
          <w:spacing w:val="8"/>
          <w:kern w:val="0"/>
          <w:sz w:val="28"/>
          <w:szCs w:val="28"/>
          <w14:textFill>
            <w14:solidFill>
              <w14:schemeClr w14:val="tx1"/>
            </w14:solidFill>
          </w14:textFill>
        </w:rPr>
        <w:t>2</w:t>
      </w:r>
      <w:r>
        <w:rPr>
          <w:rFonts w:ascii="仿宋" w:hAnsi="仿宋" w:eastAsia="仿宋"/>
          <w:bCs/>
          <w:color w:val="000000" w:themeColor="text1"/>
          <w:spacing w:val="8"/>
          <w:kern w:val="0"/>
          <w:sz w:val="28"/>
          <w:szCs w:val="28"/>
          <w14:textFill>
            <w14:solidFill>
              <w14:schemeClr w14:val="tx1"/>
            </w14:solidFill>
          </w14:textFill>
        </w:rPr>
        <w:t>.1</w:t>
      </w:r>
      <w:r>
        <w:rPr>
          <w:rFonts w:hint="eastAsia" w:ascii="仿宋" w:hAnsi="仿宋" w:eastAsia="仿宋"/>
          <w:bCs/>
          <w:color w:val="000000" w:themeColor="text1"/>
          <w:spacing w:val="8"/>
          <w:kern w:val="0"/>
          <w:sz w:val="28"/>
          <w:szCs w:val="28"/>
          <w14:textFill>
            <w14:solidFill>
              <w14:schemeClr w14:val="tx1"/>
            </w14:solidFill>
          </w14:textFill>
        </w:rPr>
        <w:t>磋商小组按照下表对进入综合评分的所有供应商的响应文件进行综合评分。</w:t>
      </w:r>
    </w:p>
    <w:p>
      <w:pPr>
        <w:spacing w:line="400" w:lineRule="exact"/>
        <w:ind w:firstLine="592" w:firstLineChars="200"/>
        <w:rPr>
          <w:rFonts w:ascii="仿宋" w:hAnsi="仿宋" w:eastAsia="仿宋"/>
          <w:bCs/>
          <w:color w:val="000000" w:themeColor="text1"/>
          <w:spacing w:val="8"/>
          <w:kern w:val="0"/>
          <w:sz w:val="28"/>
          <w:szCs w:val="28"/>
          <w14:textFill>
            <w14:solidFill>
              <w14:schemeClr w14:val="tx1"/>
            </w14:solidFill>
          </w14:textFill>
        </w:rPr>
      </w:pPr>
      <w:r>
        <w:rPr>
          <w:rFonts w:hint="eastAsia" w:ascii="仿宋" w:hAnsi="仿宋" w:eastAsia="仿宋"/>
          <w:bCs/>
          <w:color w:val="000000" w:themeColor="text1"/>
          <w:spacing w:val="8"/>
          <w:kern w:val="0"/>
          <w:sz w:val="28"/>
          <w:szCs w:val="28"/>
          <w14:textFill>
            <w14:solidFill>
              <w14:schemeClr w14:val="tx1"/>
            </w14:solidFill>
          </w14:textFill>
        </w:rPr>
        <w:t>2</w:t>
      </w:r>
      <w:r>
        <w:rPr>
          <w:rFonts w:ascii="仿宋" w:hAnsi="仿宋" w:eastAsia="仿宋"/>
          <w:bCs/>
          <w:color w:val="000000" w:themeColor="text1"/>
          <w:spacing w:val="8"/>
          <w:kern w:val="0"/>
          <w:sz w:val="28"/>
          <w:szCs w:val="28"/>
          <w14:textFill>
            <w14:solidFill>
              <w14:schemeClr w14:val="tx1"/>
            </w14:solidFill>
          </w14:textFill>
        </w:rPr>
        <w:t>.</w:t>
      </w:r>
      <w:r>
        <w:rPr>
          <w:rFonts w:hint="eastAsia" w:ascii="仿宋" w:hAnsi="仿宋" w:eastAsia="仿宋"/>
          <w:bCs/>
          <w:color w:val="000000" w:themeColor="text1"/>
          <w:spacing w:val="8"/>
          <w:kern w:val="0"/>
          <w:sz w:val="28"/>
          <w:szCs w:val="28"/>
          <w14:textFill>
            <w14:solidFill>
              <w14:schemeClr w14:val="tx1"/>
            </w14:solidFill>
          </w14:textFill>
        </w:rPr>
        <w:t>2</w:t>
      </w:r>
      <w:r>
        <w:rPr>
          <w:rFonts w:ascii="仿宋" w:hAnsi="仿宋" w:eastAsia="仿宋"/>
          <w:bCs/>
          <w:color w:val="000000" w:themeColor="text1"/>
          <w:spacing w:val="8"/>
          <w:kern w:val="0"/>
          <w:sz w:val="28"/>
          <w:szCs w:val="28"/>
          <w14:textFill>
            <w14:solidFill>
              <w14:schemeClr w14:val="tx1"/>
            </w14:solidFill>
          </w14:textFill>
        </w:rPr>
        <w:t>.2</w:t>
      </w:r>
      <w:r>
        <w:rPr>
          <w:rFonts w:hint="eastAsia" w:ascii="仿宋" w:hAnsi="仿宋" w:eastAsia="仿宋"/>
          <w:bCs/>
          <w:color w:val="000000" w:themeColor="text1"/>
          <w:spacing w:val="8"/>
          <w:kern w:val="0"/>
          <w:sz w:val="28"/>
          <w:szCs w:val="28"/>
          <w14:textFill>
            <w14:solidFill>
              <w14:schemeClr w14:val="tx1"/>
            </w14:solidFill>
          </w14:textFill>
        </w:rPr>
        <w:t>本项目综合评分满分为1</w:t>
      </w:r>
      <w:r>
        <w:rPr>
          <w:rFonts w:ascii="仿宋" w:hAnsi="仿宋" w:eastAsia="仿宋"/>
          <w:bCs/>
          <w:color w:val="000000" w:themeColor="text1"/>
          <w:spacing w:val="8"/>
          <w:kern w:val="0"/>
          <w:sz w:val="28"/>
          <w:szCs w:val="28"/>
          <w14:textFill>
            <w14:solidFill>
              <w14:schemeClr w14:val="tx1"/>
            </w14:solidFill>
          </w14:textFill>
        </w:rPr>
        <w:t>00</w:t>
      </w:r>
      <w:r>
        <w:rPr>
          <w:rFonts w:hint="eastAsia" w:ascii="仿宋" w:hAnsi="仿宋" w:eastAsia="仿宋"/>
          <w:bCs/>
          <w:color w:val="000000" w:themeColor="text1"/>
          <w:spacing w:val="8"/>
          <w:kern w:val="0"/>
          <w:sz w:val="28"/>
          <w:szCs w:val="28"/>
          <w14:textFill>
            <w14:solidFill>
              <w14:schemeClr w14:val="tx1"/>
            </w14:solidFill>
          </w14:textFill>
        </w:rPr>
        <w:t>分，其中：技术资信分值占总分值的权重为</w:t>
      </w:r>
      <w:r>
        <w:rPr>
          <w:rFonts w:hint="eastAsia" w:ascii="仿宋" w:hAnsi="仿宋" w:eastAsia="仿宋"/>
          <w:bCs/>
          <w:color w:val="000000" w:themeColor="text1"/>
          <w:spacing w:val="8"/>
          <w:kern w:val="0"/>
          <w:sz w:val="28"/>
          <w:szCs w:val="28"/>
          <w:u w:val="single"/>
          <w:lang w:val="en-US" w:eastAsia="zh-CN"/>
          <w14:textFill>
            <w14:solidFill>
              <w14:schemeClr w14:val="tx1"/>
            </w14:solidFill>
          </w14:textFill>
        </w:rPr>
        <w:t>90</w:t>
      </w:r>
      <w:r>
        <w:rPr>
          <w:rFonts w:ascii="仿宋" w:hAnsi="仿宋" w:eastAsia="仿宋"/>
          <w:bCs/>
          <w:color w:val="000000" w:themeColor="text1"/>
          <w:spacing w:val="8"/>
          <w:kern w:val="0"/>
          <w:sz w:val="28"/>
          <w:szCs w:val="28"/>
          <w14:textFill>
            <w14:solidFill>
              <w14:schemeClr w14:val="tx1"/>
            </w14:solidFill>
          </w14:textFill>
        </w:rPr>
        <w:t>%，价格分值占总分值的权重为</w:t>
      </w:r>
      <w:r>
        <w:rPr>
          <w:rFonts w:hint="eastAsia" w:ascii="仿宋" w:hAnsi="仿宋" w:eastAsia="仿宋"/>
          <w:bCs/>
          <w:color w:val="000000" w:themeColor="text1"/>
          <w:spacing w:val="8"/>
          <w:kern w:val="0"/>
          <w:sz w:val="28"/>
          <w:szCs w:val="28"/>
          <w:u w:val="single"/>
          <w:lang w:val="en-US" w:eastAsia="zh-CN"/>
          <w14:textFill>
            <w14:solidFill>
              <w14:schemeClr w14:val="tx1"/>
            </w14:solidFill>
          </w14:textFill>
        </w:rPr>
        <w:t>10</w:t>
      </w:r>
      <w:r>
        <w:rPr>
          <w:rFonts w:ascii="仿宋" w:hAnsi="仿宋" w:eastAsia="仿宋"/>
          <w:bCs/>
          <w:color w:val="000000" w:themeColor="text1"/>
          <w:spacing w:val="8"/>
          <w:kern w:val="0"/>
          <w:sz w:val="28"/>
          <w:szCs w:val="28"/>
          <w14:textFill>
            <w14:solidFill>
              <w14:schemeClr w14:val="tx1"/>
            </w14:solidFill>
          </w14:textFill>
        </w:rPr>
        <w:t>%。具体评分细则如下：</w:t>
      </w:r>
    </w:p>
    <w:p>
      <w:pPr>
        <w:pStyle w:val="2"/>
      </w:pPr>
    </w:p>
    <w:tbl>
      <w:tblPr>
        <w:tblStyle w:val="37"/>
        <w:tblW w:w="9699" w:type="dxa"/>
        <w:tblInd w:w="-28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39"/>
        <w:gridCol w:w="1340"/>
        <w:gridCol w:w="5270"/>
        <w:gridCol w:w="12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3" w:hRule="atLeast"/>
        </w:trPr>
        <w:tc>
          <w:tcPr>
            <w:tcW w:w="1839" w:type="dxa"/>
            <w:tcBorders>
              <w:top w:val="single" w:color="000000" w:sz="8" w:space="0"/>
              <w:left w:val="single" w:color="000000" w:sz="8" w:space="0"/>
              <w:bottom w:val="nil"/>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评分类别</w:t>
            </w:r>
          </w:p>
        </w:tc>
        <w:tc>
          <w:tcPr>
            <w:tcW w:w="134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评分因素</w:t>
            </w:r>
          </w:p>
        </w:tc>
        <w:tc>
          <w:tcPr>
            <w:tcW w:w="527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评审标准</w:t>
            </w:r>
          </w:p>
        </w:tc>
        <w:tc>
          <w:tcPr>
            <w:tcW w:w="125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8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商务部分（58分）</w:t>
            </w:r>
          </w:p>
        </w:tc>
        <w:tc>
          <w:tcPr>
            <w:tcW w:w="134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供应商资质</w:t>
            </w:r>
          </w:p>
        </w:tc>
        <w:tc>
          <w:tcPr>
            <w:tcW w:w="5270"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1.供应商具有第三方信用评级机构颁发的AAA级企业信用等级证书得5分。</w:t>
            </w:r>
          </w:p>
        </w:tc>
        <w:tc>
          <w:tcPr>
            <w:tcW w:w="125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20分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18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3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2.投标人为本项目提供服务的云平台具有云网一体化能力综合水平评估证书的国家可信云认证得5分。</w:t>
            </w:r>
          </w:p>
        </w:tc>
        <w:tc>
          <w:tcPr>
            <w:tcW w:w="12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18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3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3.供应商具有中国国家认证认可监督管理委员会认可机构颁发的有效期内的信息技术服务管理体系认证的得5分。</w:t>
            </w:r>
          </w:p>
        </w:tc>
        <w:tc>
          <w:tcPr>
            <w:tcW w:w="12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trPr>
        <w:tc>
          <w:tcPr>
            <w:tcW w:w="18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3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4.投标人具有五星级商品售后服务评价体系认证证书的得5分。</w:t>
            </w:r>
          </w:p>
        </w:tc>
        <w:tc>
          <w:tcPr>
            <w:tcW w:w="12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trPr>
        <w:tc>
          <w:tcPr>
            <w:tcW w:w="18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3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注：以上需提供有效的证明材料复印件或扫描件，并加盖公章；</w:t>
            </w:r>
          </w:p>
        </w:tc>
        <w:tc>
          <w:tcPr>
            <w:tcW w:w="1250" w:type="dxa"/>
            <w:vMerge w:val="continue"/>
            <w:tcBorders>
              <w:top w:val="nil"/>
              <w:left w:val="nil"/>
              <w:bottom w:val="single" w:color="auto" w:sz="4"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2" w:hRule="atLeast"/>
        </w:trPr>
        <w:tc>
          <w:tcPr>
            <w:tcW w:w="1839"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34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供应商业绩</w:t>
            </w:r>
          </w:p>
        </w:tc>
        <w:tc>
          <w:tcPr>
            <w:tcW w:w="5270" w:type="dxa"/>
            <w:tcBorders>
              <w:top w:val="single" w:color="auto" w:sz="4" w:space="0"/>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自2019年01月01日以来投标人（以合同签订时间为准）承担过云项目（内容同时涵盖云主机、云存储（硬盘）或云安全）业绩的，每提供1个得5分，最高得20分。                                                       </w:t>
            </w:r>
          </w:p>
        </w:tc>
        <w:tc>
          <w:tcPr>
            <w:tcW w:w="1250"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20分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1839"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340" w:type="dxa"/>
            <w:vMerge w:val="continue"/>
            <w:tcBorders>
              <w:top w:val="single" w:color="auto" w:sz="4" w:space="0"/>
              <w:left w:val="single" w:color="auto" w:sz="4"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single" w:color="auto" w:sz="4" w:space="0"/>
              <w:left w:val="nil"/>
              <w:bottom w:val="single" w:color="000000"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注：须提供业绩合同扫描件或复印件，合同须体现评审因素，如体现不了须另行提供加盖业主单位公章的证明材料，否则不得分。</w:t>
            </w:r>
          </w:p>
        </w:tc>
        <w:tc>
          <w:tcPr>
            <w:tcW w:w="1250" w:type="dxa"/>
            <w:vMerge w:val="continue"/>
            <w:tcBorders>
              <w:top w:val="single" w:color="auto" w:sz="4" w:space="0"/>
              <w:left w:val="single" w:color="auto" w:sz="4" w:space="0"/>
              <w:bottom w:val="single" w:color="000000" w:sz="8" w:space="0"/>
              <w:right w:val="single" w:color="auto" w:sz="4"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trPr>
        <w:tc>
          <w:tcPr>
            <w:tcW w:w="1839"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340" w:type="dxa"/>
            <w:vMerge w:val="restart"/>
            <w:tcBorders>
              <w:top w:val="nil"/>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服务团队</w:t>
            </w:r>
          </w:p>
        </w:tc>
        <w:tc>
          <w:tcPr>
            <w:tcW w:w="527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投标人服务团队核心人员具有以下人员证书的，得相应分数。具体如下：</w:t>
            </w:r>
          </w:p>
        </w:tc>
        <w:tc>
          <w:tcPr>
            <w:tcW w:w="1250" w:type="dxa"/>
            <w:vMerge w:val="restart"/>
            <w:tcBorders>
              <w:top w:val="nil"/>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18分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3" w:hRule="atLeast"/>
        </w:trPr>
        <w:tc>
          <w:tcPr>
            <w:tcW w:w="1839"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340" w:type="dxa"/>
            <w:vMerge w:val="continue"/>
            <w:tcBorders>
              <w:top w:val="single" w:color="auto" w:sz="4" w:space="0"/>
              <w:left w:val="single" w:color="auto" w:sz="4"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single" w:color="auto" w:sz="4" w:space="0"/>
              <w:left w:val="nil"/>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（1）拟担任本项目的项目经理（限1人）要求具有工信部教育与考试中心颁发的高级软件工程师；Red Hat公司颁发的云计算基础设施领域的Red Hat认证专家（RHCSA）、Red Hat公司颁发的红帽认证工程师（RHCE）的，每提供一项得2分，最高的6分。不提供不得分。</w:t>
            </w:r>
          </w:p>
        </w:tc>
        <w:tc>
          <w:tcPr>
            <w:tcW w:w="12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8" w:hRule="atLeast"/>
        </w:trPr>
        <w:tc>
          <w:tcPr>
            <w:tcW w:w="1839"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340" w:type="dxa"/>
            <w:vMerge w:val="continue"/>
            <w:tcBorders>
              <w:top w:val="nil"/>
              <w:left w:val="single" w:color="auto" w:sz="4"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（2）拟担任本项目的技术负责人（限1人）具有国际云安全联盟CSA(Cloud Security Alliance)颁发的CCSK(云计算安全知识认证) 证书、中国通信工业协会颁发的信息安全管理工程师、如华三、华为、金山、浪潮等国内主流厂商云认证证书的，每提供一项得2分，最高得6分。不提供不得分。</w:t>
            </w:r>
          </w:p>
        </w:tc>
        <w:tc>
          <w:tcPr>
            <w:tcW w:w="12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3" w:hRule="atLeast"/>
        </w:trPr>
        <w:tc>
          <w:tcPr>
            <w:tcW w:w="1839"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340" w:type="dxa"/>
            <w:vMerge w:val="continue"/>
            <w:tcBorders>
              <w:top w:val="nil"/>
              <w:left w:val="single" w:color="auto" w:sz="4"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项目团队人员其他人员具有以下证书的：具有中国信息安全测评中心颁发的CISP(注册信息安全专业人员)、中国通信工业协会颁发的网络安全系统评测师、中国人力资源职业能力人才评价中心颁发的IT服务工程师证书的，每提供一项得2分，最高得6分。不提供不得分。</w:t>
            </w:r>
          </w:p>
        </w:tc>
        <w:tc>
          <w:tcPr>
            <w:tcW w:w="12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2" w:hRule="atLeast"/>
        </w:trPr>
        <w:tc>
          <w:tcPr>
            <w:tcW w:w="1839" w:type="dxa"/>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1340" w:type="dxa"/>
            <w:vMerge w:val="continue"/>
            <w:tcBorders>
              <w:top w:val="nil"/>
              <w:left w:val="single" w:color="auto" w:sz="4"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注：上述各类型证书，需提供证书扫描件或影印件，要求开标时各类证书在有效期内。服务团队人员需为投标人在职人员，提供近6个月内任意连续3个月为其缴纳社保证明扫描件或影印件。</w:t>
            </w:r>
          </w:p>
        </w:tc>
        <w:tc>
          <w:tcPr>
            <w:tcW w:w="12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2" w:hRule="atLeast"/>
        </w:trPr>
        <w:tc>
          <w:tcPr>
            <w:tcW w:w="183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color w:val="000000"/>
                <w:kern w:val="0"/>
                <w:sz w:val="22"/>
                <w:szCs w:val="22"/>
                <w:u w:val="none"/>
                <w:lang w:val="en-US" w:eastAsia="zh-CN" w:bidi="ar"/>
              </w:rPr>
              <w:t>技术部分（32分）</w:t>
            </w:r>
          </w:p>
        </w:tc>
        <w:tc>
          <w:tcPr>
            <w:tcW w:w="134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项目实施方案</w:t>
            </w:r>
          </w:p>
        </w:tc>
        <w:tc>
          <w:tcPr>
            <w:tcW w:w="5270"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需针对本项目系统平台建设所涉及的项目实施进度、项目管理措施、项目突发情况应急措施等内容来规划清晰、合理的实施管理方案。根据投标人提供的项目实施管理方案内容进行综合评审：</w:t>
            </w:r>
          </w:p>
        </w:tc>
        <w:tc>
          <w:tcPr>
            <w:tcW w:w="1250" w:type="dxa"/>
            <w:vMerge w:val="restart"/>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trPr>
        <w:tc>
          <w:tcPr>
            <w:tcW w:w="183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13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1.方案科学，针对性及可行性强，切实可行的得16分；</w:t>
            </w:r>
          </w:p>
        </w:tc>
        <w:tc>
          <w:tcPr>
            <w:tcW w:w="12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83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13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2.内容完整，方案合理，针对性及可行性较强，较好满足采购需求，得13分；</w:t>
            </w:r>
          </w:p>
        </w:tc>
        <w:tc>
          <w:tcPr>
            <w:tcW w:w="12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trPr>
        <w:tc>
          <w:tcPr>
            <w:tcW w:w="183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13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3.内容基本完整，方案基本合理，针对性及可行性一般，得10分；</w:t>
            </w:r>
          </w:p>
        </w:tc>
        <w:tc>
          <w:tcPr>
            <w:tcW w:w="125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83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1340"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4.较差或未提供不得分。</w:t>
            </w:r>
          </w:p>
        </w:tc>
        <w:tc>
          <w:tcPr>
            <w:tcW w:w="1250" w:type="dxa"/>
            <w:vMerge w:val="continue"/>
            <w:tcBorders>
              <w:top w:val="nil"/>
              <w:left w:val="nil"/>
              <w:bottom w:val="single" w:color="auto" w:sz="4" w:space="0"/>
              <w:right w:val="single" w:color="000000" w:sz="8"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82" w:hRule="atLeast"/>
        </w:trPr>
        <w:tc>
          <w:tcPr>
            <w:tcW w:w="1839"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1340"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售后服务能力</w:t>
            </w:r>
          </w:p>
        </w:tc>
        <w:tc>
          <w:tcPr>
            <w:tcW w:w="5270" w:type="dxa"/>
            <w:tcBorders>
              <w:top w:val="single" w:color="auto" w:sz="4" w:space="0"/>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具备完善的售后服务方案，满足招标要求，需包含：售后服务措施、售后服务承诺的范围和完善程度（包括售后维护范围，售后服务标准，人员配备等）、人员培训方案：</w:t>
            </w:r>
          </w:p>
        </w:tc>
        <w:tc>
          <w:tcPr>
            <w:tcW w:w="1250" w:type="dxa"/>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1" w:hRule="atLeast"/>
        </w:trPr>
        <w:tc>
          <w:tcPr>
            <w:tcW w:w="1839"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1340" w:type="dxa"/>
            <w:vMerge w:val="continue"/>
            <w:tcBorders>
              <w:top w:val="single" w:color="auto" w:sz="4" w:space="0"/>
              <w:left w:val="single" w:color="auto" w:sz="4"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single" w:color="auto" w:sz="4" w:space="0"/>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1.方案有详细的工作计划，设计合理、切实可行的得16分；</w:t>
            </w:r>
          </w:p>
        </w:tc>
        <w:tc>
          <w:tcPr>
            <w:tcW w:w="1250" w:type="dxa"/>
            <w:vMerge w:val="continue"/>
            <w:tcBorders>
              <w:top w:val="single" w:color="auto" w:sz="4" w:space="0"/>
              <w:left w:val="nil"/>
              <w:bottom w:val="single" w:color="000000" w:sz="8" w:space="0"/>
              <w:right w:val="single" w:color="auto" w:sz="4"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839"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1340" w:type="dxa"/>
            <w:vMerge w:val="continue"/>
            <w:tcBorders>
              <w:top w:val="nil"/>
              <w:left w:val="single" w:color="auto" w:sz="4"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2.方案有工作计划，基本合理、可行的得13分；</w:t>
            </w:r>
          </w:p>
        </w:tc>
        <w:tc>
          <w:tcPr>
            <w:tcW w:w="1250" w:type="dxa"/>
            <w:vMerge w:val="continue"/>
            <w:tcBorders>
              <w:top w:val="nil"/>
              <w:left w:val="nil"/>
              <w:bottom w:val="single" w:color="000000" w:sz="8" w:space="0"/>
              <w:right w:val="single" w:color="auto" w:sz="4"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839"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1340" w:type="dxa"/>
            <w:vMerge w:val="continue"/>
            <w:tcBorders>
              <w:top w:val="nil"/>
              <w:left w:val="single" w:color="auto" w:sz="4"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nil"/>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3.方案可操作性一般的得10分；</w:t>
            </w:r>
          </w:p>
        </w:tc>
        <w:tc>
          <w:tcPr>
            <w:tcW w:w="1250" w:type="dxa"/>
            <w:vMerge w:val="continue"/>
            <w:tcBorders>
              <w:top w:val="nil"/>
              <w:left w:val="nil"/>
              <w:bottom w:val="single" w:color="000000" w:sz="8" w:space="0"/>
              <w:right w:val="single" w:color="auto" w:sz="4"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839" w:type="dxa"/>
            <w:vMerge w:val="continue"/>
            <w:tcBorders>
              <w:top w:val="single" w:color="000000" w:sz="4" w:space="0"/>
              <w:left w:val="single" w:color="000000" w:sz="4" w:space="0"/>
              <w:bottom w:val="single" w:color="000000" w:sz="4" w:space="0"/>
              <w:right w:val="single" w:color="auto" w:sz="4" w:space="0"/>
            </w:tcBorders>
            <w:shd w:val="clear" w:color="auto" w:fill="auto"/>
            <w:noWrap/>
            <w:vAlign w:val="center"/>
          </w:tcPr>
          <w:p>
            <w:pPr>
              <w:jc w:val="center"/>
              <w:rPr>
                <w:rFonts w:hint="eastAsia" w:ascii="仿宋_GB2312" w:hAnsi="仿宋_GB2312" w:eastAsia="仿宋_GB2312" w:cs="仿宋_GB2312"/>
                <w:i w:val="0"/>
                <w:iCs w:val="0"/>
                <w:color w:val="000000"/>
                <w:sz w:val="22"/>
                <w:szCs w:val="22"/>
                <w:u w:val="none"/>
              </w:rPr>
            </w:pPr>
          </w:p>
        </w:tc>
        <w:tc>
          <w:tcPr>
            <w:tcW w:w="1340" w:type="dxa"/>
            <w:vMerge w:val="continue"/>
            <w:tcBorders>
              <w:top w:val="nil"/>
              <w:left w:val="single" w:color="auto" w:sz="4" w:space="0"/>
              <w:bottom w:val="single" w:color="000000" w:sz="8" w:space="0"/>
              <w:right w:val="single" w:color="000000" w:sz="8" w:space="0"/>
            </w:tcBorders>
            <w:shd w:val="clear" w:color="auto" w:fill="auto"/>
            <w:vAlign w:val="center"/>
          </w:tcPr>
          <w:p>
            <w:pPr>
              <w:jc w:val="center"/>
              <w:rPr>
                <w:rFonts w:hint="eastAsia" w:ascii="仿宋_GB2312" w:hAnsi="仿宋_GB2312" w:eastAsia="仿宋_GB2312" w:cs="仿宋_GB2312"/>
                <w:i w:val="0"/>
                <w:iCs w:val="0"/>
                <w:color w:val="000000"/>
                <w:sz w:val="21"/>
                <w:szCs w:val="21"/>
                <w:u w:val="none"/>
              </w:rPr>
            </w:pPr>
          </w:p>
        </w:tc>
        <w:tc>
          <w:tcPr>
            <w:tcW w:w="527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4.方案较差或未提供方案不得分。</w:t>
            </w:r>
          </w:p>
        </w:tc>
        <w:tc>
          <w:tcPr>
            <w:tcW w:w="1250" w:type="dxa"/>
            <w:vMerge w:val="continue"/>
            <w:tcBorders>
              <w:top w:val="nil"/>
              <w:left w:val="nil"/>
              <w:bottom w:val="single" w:color="000000" w:sz="8" w:space="0"/>
              <w:right w:val="single" w:color="auto" w:sz="4" w:space="0"/>
            </w:tcBorders>
            <w:shd w:val="clear" w:color="auto" w:fill="auto"/>
            <w:vAlign w:val="center"/>
          </w:tcPr>
          <w:p>
            <w:pPr>
              <w:jc w:val="center"/>
              <w:rPr>
                <w:rFonts w:hint="eastAsia" w:ascii="仿宋_GB2312" w:hAnsi="仿宋_GB2312" w:eastAsia="仿宋_GB2312" w:cs="仿宋_GB2312"/>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1839" w:type="dxa"/>
            <w:tcBorders>
              <w:top w:val="nil"/>
              <w:left w:val="single" w:color="000000" w:sz="8" w:space="0"/>
              <w:bottom w:val="nil"/>
              <w:right w:val="single" w:color="auto"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价格部分</w:t>
            </w:r>
          </w:p>
        </w:tc>
        <w:tc>
          <w:tcPr>
            <w:tcW w:w="7860" w:type="dxa"/>
            <w:gridSpan w:val="3"/>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Style w:val="134"/>
                <w:rFonts w:hint="eastAsia" w:ascii="仿宋_GB2312" w:hAnsi="仿宋_GB2312" w:eastAsia="仿宋_GB2312" w:cs="仿宋_GB2312"/>
                <w:lang w:val="en-US" w:eastAsia="zh-CN" w:bidi="ar"/>
              </w:rPr>
              <w:t>价格分统一采用低价优先法，即满足磋商文件要求且价格最低的最后报价为评标基准价，其价格分为满分</w:t>
            </w:r>
            <w:r>
              <w:rPr>
                <w:rStyle w:val="135"/>
                <w:rFonts w:hint="eastAsia" w:ascii="仿宋_GB2312" w:hAnsi="仿宋_GB2312" w:eastAsia="仿宋_GB2312" w:cs="仿宋_GB2312"/>
                <w:lang w:val="en-US" w:eastAsia="zh-CN" w:bidi="ar"/>
              </w:rPr>
              <w:t xml:space="preserve">10 </w:t>
            </w:r>
            <w:r>
              <w:rPr>
                <w:rStyle w:val="134"/>
                <w:rFonts w:hint="eastAsia" w:ascii="仿宋_GB2312" w:hAnsi="仿宋_GB2312" w:eastAsia="仿宋_GB2312" w:cs="仿宋_GB2312"/>
                <w:lang w:val="en-US" w:eastAsia="zh-CN" w:bidi="ar"/>
              </w:rPr>
              <w:t>分。其他投标人的价格分统一按照下列公式计算：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1839"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Style w:val="134"/>
                <w:rFonts w:hint="eastAsia" w:ascii="仿宋_GB2312" w:hAnsi="仿宋_GB2312" w:eastAsia="仿宋_GB2312" w:cs="仿宋_GB2312"/>
                <w:lang w:val="en-US" w:eastAsia="zh-CN" w:bidi="ar"/>
              </w:rPr>
              <w:t>（</w:t>
            </w:r>
            <w:r>
              <w:rPr>
                <w:rStyle w:val="135"/>
                <w:rFonts w:hint="eastAsia" w:ascii="仿宋_GB2312" w:hAnsi="仿宋_GB2312" w:eastAsia="仿宋_GB2312" w:cs="仿宋_GB2312"/>
                <w:lang w:val="en-US" w:eastAsia="zh-CN" w:bidi="ar"/>
              </w:rPr>
              <w:t>10</w:t>
            </w:r>
            <w:r>
              <w:rPr>
                <w:rStyle w:val="134"/>
                <w:rFonts w:hint="eastAsia" w:ascii="仿宋_GB2312" w:hAnsi="仿宋_GB2312" w:eastAsia="仿宋_GB2312" w:cs="仿宋_GB2312"/>
                <w:lang w:val="en-US" w:eastAsia="zh-CN" w:bidi="ar"/>
              </w:rPr>
              <w:t>分）</w:t>
            </w:r>
          </w:p>
        </w:tc>
        <w:tc>
          <w:tcPr>
            <w:tcW w:w="7860" w:type="dxa"/>
            <w:gridSpan w:val="3"/>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最后报价得分＝（评标基准价/最后报价）× 100 ％×10</w:t>
            </w:r>
          </w:p>
        </w:tc>
      </w:tr>
    </w:tbl>
    <w:p>
      <w:pPr>
        <w:spacing w:line="44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2.2.3分值汇总</w:t>
      </w:r>
    </w:p>
    <w:p>
      <w:pPr>
        <w:spacing w:line="44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磋商小组各成员应当独立对每个有效响应的文件进行评价、打分，然后汇总每个供应商每项评分因素的得分（四舍五入保留至小数点后两位数），再将供应商每项评分因素的得分进行汇总，得到该供应商的技术资信分之和。</w:t>
      </w:r>
    </w:p>
    <w:p>
      <w:pPr>
        <w:spacing w:line="440" w:lineRule="exac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（2）将每个供应商的技术资信分之和加上根据上述标准计算出的价格分，即为该供应商的综合总得分。</w:t>
      </w:r>
    </w:p>
    <w:p>
      <w:pPr>
        <w:spacing w:line="440" w:lineRule="exact"/>
        <w:ind w:firstLine="560" w:firstLineChars="200"/>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磋商小组</w:t>
      </w:r>
      <w:r>
        <w:rPr>
          <w:rFonts w:ascii="仿宋" w:hAnsi="仿宋" w:eastAsia="仿宋"/>
          <w:color w:val="000000" w:themeColor="text1"/>
          <w:sz w:val="28"/>
          <w:szCs w:val="28"/>
          <w14:textFill>
            <w14:solidFill>
              <w14:schemeClr w14:val="tx1"/>
            </w14:solidFill>
          </w14:textFill>
        </w:rPr>
        <w:t>依据本项目</w:t>
      </w:r>
      <w:r>
        <w:rPr>
          <w:rFonts w:hint="eastAsia" w:ascii="仿宋" w:hAnsi="仿宋" w:eastAsia="仿宋"/>
          <w:color w:val="000000" w:themeColor="text1"/>
          <w:sz w:val="28"/>
          <w:szCs w:val="28"/>
          <w14:textFill>
            <w14:solidFill>
              <w14:schemeClr w14:val="tx1"/>
            </w14:solidFill>
          </w14:textFill>
        </w:rPr>
        <w:t>磋商</w:t>
      </w:r>
      <w:r>
        <w:rPr>
          <w:rFonts w:ascii="仿宋" w:hAnsi="仿宋" w:eastAsia="仿宋"/>
          <w:color w:val="000000" w:themeColor="text1"/>
          <w:sz w:val="28"/>
          <w:szCs w:val="28"/>
          <w14:textFill>
            <w14:solidFill>
              <w14:schemeClr w14:val="tx1"/>
            </w14:solidFill>
          </w14:textFill>
        </w:rPr>
        <w:t>文件所约定的</w:t>
      </w:r>
      <w:r>
        <w:rPr>
          <w:rFonts w:hint="eastAsia" w:ascii="仿宋" w:hAnsi="仿宋" w:eastAsia="仿宋"/>
          <w:color w:val="000000" w:themeColor="text1"/>
          <w:sz w:val="28"/>
          <w:szCs w:val="28"/>
          <w14:textFill>
            <w14:solidFill>
              <w14:schemeClr w14:val="tx1"/>
            </w14:solidFill>
          </w14:textFill>
        </w:rPr>
        <w:t>评审</w:t>
      </w:r>
      <w:r>
        <w:rPr>
          <w:rFonts w:ascii="仿宋" w:hAnsi="仿宋" w:eastAsia="仿宋"/>
          <w:color w:val="000000" w:themeColor="text1"/>
          <w:sz w:val="28"/>
          <w:szCs w:val="28"/>
          <w14:textFill>
            <w14:solidFill>
              <w14:schemeClr w14:val="tx1"/>
            </w14:solidFill>
          </w14:textFill>
        </w:rPr>
        <w:t>方法</w:t>
      </w:r>
      <w:r>
        <w:rPr>
          <w:rFonts w:hint="eastAsia" w:ascii="仿宋" w:hAnsi="仿宋" w:eastAsia="仿宋"/>
          <w:color w:val="000000" w:themeColor="text1"/>
          <w:sz w:val="28"/>
          <w:szCs w:val="28"/>
          <w14:textFill>
            <w14:solidFill>
              <w14:schemeClr w14:val="tx1"/>
            </w14:solidFill>
          </w14:textFill>
        </w:rPr>
        <w:t>和标准</w:t>
      </w:r>
      <w:r>
        <w:rPr>
          <w:rFonts w:ascii="仿宋" w:hAnsi="仿宋" w:eastAsia="仿宋"/>
          <w:color w:val="000000" w:themeColor="text1"/>
          <w:sz w:val="28"/>
          <w:szCs w:val="28"/>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按照有效供应商综合总得分由高到低依次推荐成交候选供应商。综合总得分出现两家或两家以上相同者，按最后报价由低到高排序推荐成交候选供应商；综合总得分且最后报价均相同的，</w:t>
      </w:r>
      <w:r>
        <w:rPr>
          <w:rFonts w:hint="eastAsia" w:ascii="仿宋" w:hAnsi="仿宋" w:eastAsia="仿宋"/>
          <w:color w:val="000000" w:themeColor="text1"/>
          <w:kern w:val="0"/>
          <w:sz w:val="28"/>
          <w:szCs w:val="28"/>
          <w14:textFill>
            <w14:solidFill>
              <w14:schemeClr w14:val="tx1"/>
            </w14:solidFill>
          </w14:textFill>
        </w:rPr>
        <w:t>则</w:t>
      </w:r>
      <w:r>
        <w:rPr>
          <w:rFonts w:hint="eastAsia" w:ascii="仿宋" w:hAnsi="仿宋" w:eastAsia="仿宋"/>
          <w:color w:val="000000" w:themeColor="text1"/>
          <w:sz w:val="28"/>
          <w:szCs w:val="28"/>
          <w14:textFill>
            <w14:solidFill>
              <w14:schemeClr w14:val="tx1"/>
            </w14:solidFill>
          </w14:textFill>
        </w:rPr>
        <w:t>采取</w:t>
      </w:r>
      <w:r>
        <w:rPr>
          <w:rFonts w:hint="eastAsia" w:ascii="仿宋" w:hAnsi="仿宋" w:eastAsia="仿宋"/>
          <w:color w:val="000000" w:themeColor="text1"/>
          <w:sz w:val="28"/>
          <w:szCs w:val="28"/>
          <w:lang w:val="en-US" w:eastAsia="zh-CN"/>
          <w14:textFill>
            <w14:solidFill>
              <w14:schemeClr w14:val="tx1"/>
            </w14:solidFill>
          </w14:textFill>
        </w:rPr>
        <w:t>抽签</w:t>
      </w:r>
      <w:r>
        <w:rPr>
          <w:rFonts w:hint="eastAsia" w:ascii="仿宋" w:hAnsi="仿宋" w:eastAsia="仿宋"/>
          <w:color w:val="000000" w:themeColor="text1"/>
          <w:sz w:val="28"/>
          <w:szCs w:val="28"/>
          <w14:textFill>
            <w14:solidFill>
              <w14:schemeClr w14:val="tx1"/>
            </w14:solidFill>
          </w14:textFill>
        </w:rPr>
        <w:t>方式确定</w:t>
      </w:r>
      <w:r>
        <w:rPr>
          <w:rFonts w:hint="eastAsia" w:ascii="仿宋" w:hAnsi="仿宋" w:eastAsia="仿宋" w:cs="宋体"/>
          <w:color w:val="000000" w:themeColor="text1"/>
          <w:sz w:val="28"/>
          <w:szCs w:val="28"/>
          <w14:textFill>
            <w14:solidFill>
              <w14:schemeClr w14:val="tx1"/>
            </w14:solidFill>
          </w14:textFill>
        </w:rPr>
        <w:t>排序</w:t>
      </w:r>
      <w:r>
        <w:rPr>
          <w:rFonts w:hint="eastAsia" w:ascii="仿宋" w:hAnsi="仿宋" w:eastAsia="仿宋"/>
          <w:color w:val="000000" w:themeColor="text1"/>
          <w:sz w:val="28"/>
          <w:szCs w:val="28"/>
          <w14:textFill>
            <w14:solidFill>
              <w14:schemeClr w14:val="tx1"/>
            </w14:solidFill>
          </w14:textFill>
        </w:rPr>
        <w:t>。</w:t>
      </w:r>
    </w:p>
    <w:p>
      <w:pPr>
        <w:keepNext/>
        <w:keepLines/>
        <w:pageBreakBefore w:val="0"/>
        <w:widowControl w:val="0"/>
        <w:kinsoku/>
        <w:wordWrap/>
        <w:overflowPunct/>
        <w:topLinePunct w:val="0"/>
        <w:autoSpaceDE/>
        <w:autoSpaceDN/>
        <w:bidi w:val="0"/>
        <w:adjustRightInd/>
        <w:snapToGrid/>
        <w:textAlignment w:val="auto"/>
        <w:outlineLvl w:val="9"/>
        <w:rPr>
          <w:rFonts w:ascii="黑体" w:hAnsi="黑体" w:eastAsia="黑体"/>
          <w:b w:val="0"/>
          <w:sz w:val="28"/>
          <w:szCs w:val="28"/>
        </w:rPr>
      </w:pPr>
    </w:p>
    <w:p>
      <w:pPr>
        <w:keepNext/>
        <w:keepLines/>
        <w:pageBreakBefore w:val="0"/>
        <w:widowControl w:val="0"/>
        <w:kinsoku/>
        <w:wordWrap/>
        <w:overflowPunct/>
        <w:topLinePunct w:val="0"/>
        <w:autoSpaceDE/>
        <w:autoSpaceDN/>
        <w:bidi w:val="0"/>
        <w:adjustRightInd/>
        <w:snapToGrid/>
        <w:textAlignment w:val="auto"/>
        <w:outlineLvl w:val="9"/>
        <w:rPr>
          <w:rFonts w:ascii="黑体" w:hAnsi="黑体" w:eastAsia="黑体"/>
          <w:b w:val="0"/>
          <w:sz w:val="28"/>
          <w:szCs w:val="28"/>
        </w:rPr>
      </w:pPr>
      <w:r>
        <w:rPr>
          <w:rFonts w:ascii="黑体" w:hAnsi="黑体" w:eastAsia="黑体"/>
          <w:b w:val="0"/>
          <w:sz w:val="28"/>
          <w:szCs w:val="28"/>
        </w:rPr>
        <w:br w:type="page"/>
      </w:r>
    </w:p>
    <w:p>
      <w:pPr>
        <w:pStyle w:val="4"/>
        <w:rPr>
          <w:rFonts w:ascii="华文中宋" w:hAnsi="华文中宋" w:eastAsia="华文中宋"/>
          <w:b w:val="0"/>
        </w:rPr>
      </w:pPr>
      <w:bookmarkStart w:id="35" w:name="_Toc21263"/>
      <w:r>
        <w:rPr>
          <w:rFonts w:hint="eastAsia" w:ascii="华文中宋" w:hAnsi="华文中宋" w:eastAsia="华文中宋"/>
          <w:b w:val="0"/>
        </w:rPr>
        <w:t>第五章 供应商须知</w:t>
      </w:r>
      <w:bookmarkEnd w:id="35"/>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w:t>
      </w:r>
      <w:r>
        <w:rPr>
          <w:rFonts w:hint="eastAsia" w:ascii="宋体" w:hAnsi="宋体" w:eastAsia="宋体"/>
          <w:b/>
          <w:color w:val="auto"/>
          <w:sz w:val="24"/>
          <w:highlight w:val="none"/>
        </w:rPr>
        <w:t>适用范围</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1.1</w:t>
      </w:r>
      <w:r>
        <w:rPr>
          <w:rFonts w:hint="eastAsia" w:ascii="宋体" w:hAnsi="宋体" w:eastAsia="宋体"/>
          <w:color w:val="auto"/>
          <w:sz w:val="24"/>
          <w:highlight w:val="none"/>
        </w:rPr>
        <w:t>本磋商文件仅适用于本次磋商所述的服务项目采购。</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2</w:t>
      </w:r>
      <w:r>
        <w:rPr>
          <w:rFonts w:ascii="宋体" w:hAnsi="宋体" w:eastAsia="宋体"/>
          <w:b/>
          <w:color w:val="auto"/>
          <w:sz w:val="24"/>
          <w:highlight w:val="none"/>
        </w:rPr>
        <w:t>.</w:t>
      </w:r>
      <w:r>
        <w:rPr>
          <w:rFonts w:hint="eastAsia" w:ascii="宋体" w:hAnsi="宋体" w:eastAsia="宋体"/>
          <w:b/>
          <w:color w:val="auto"/>
          <w:sz w:val="24"/>
          <w:highlight w:val="none"/>
        </w:rPr>
        <w:t>定义</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服务：系指除货物和工程以外的其他政府采购对象，包括咨询、调研、评估、规划、设计、监理、审计、保险、租赁、印刷、维修、物业管理等。</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2.2时限（年份、月份等）计算：系指从</w:t>
      </w:r>
      <w:r>
        <w:rPr>
          <w:rFonts w:hint="eastAsia" w:ascii="宋体" w:hAnsi="宋体" w:eastAsia="宋体"/>
          <w:color w:val="auto"/>
          <w:sz w:val="24"/>
          <w:highlight w:val="none"/>
        </w:rPr>
        <w:t>磋商</w:t>
      </w:r>
      <w:r>
        <w:rPr>
          <w:rFonts w:ascii="宋体" w:hAnsi="宋体" w:eastAsia="宋体"/>
          <w:color w:val="auto"/>
          <w:sz w:val="24"/>
          <w:highlight w:val="none"/>
        </w:rPr>
        <w:t>之日向前追溯X年/月（“X”为“一”及以后整数）起算。</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2.3业绩：</w:t>
      </w:r>
      <w:r>
        <w:rPr>
          <w:rFonts w:hint="eastAsia" w:ascii="宋体" w:hAnsi="宋体" w:eastAsia="宋体"/>
          <w:color w:val="auto"/>
          <w:sz w:val="24"/>
          <w:highlight w:val="none"/>
        </w:rPr>
        <w:t>业绩系指符合本磋商文件规定的与最终用户签订的合同或磋商文件要求的相关证明。供应商</w:t>
      </w:r>
      <w:r>
        <w:rPr>
          <w:rFonts w:ascii="宋体" w:hAnsi="宋体" w:eastAsia="宋体"/>
          <w:color w:val="auto"/>
          <w:sz w:val="24"/>
          <w:highlight w:val="none"/>
        </w:rPr>
        <w:t>与其关联公司（如母公司、控股公司、分公司、子公司、同一法定代表人的公司等）之间签订的合同，均不予认可。</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除非本</w:t>
      </w:r>
      <w:r>
        <w:rPr>
          <w:rFonts w:hint="eastAsia" w:ascii="宋体" w:hAnsi="宋体" w:eastAsia="宋体"/>
          <w:color w:val="auto"/>
          <w:sz w:val="24"/>
          <w:highlight w:val="none"/>
        </w:rPr>
        <w:t>磋商</w:t>
      </w:r>
      <w:r>
        <w:rPr>
          <w:rFonts w:ascii="宋体" w:hAnsi="宋体" w:eastAsia="宋体"/>
          <w:color w:val="auto"/>
          <w:sz w:val="24"/>
          <w:highlight w:val="none"/>
        </w:rPr>
        <w:t>文件</w:t>
      </w:r>
      <w:r>
        <w:rPr>
          <w:rFonts w:hint="eastAsia" w:ascii="宋体" w:hAnsi="宋体" w:eastAsia="宋体"/>
          <w:color w:val="auto"/>
          <w:sz w:val="24"/>
          <w:highlight w:val="none"/>
        </w:rPr>
        <w:t>中</w:t>
      </w:r>
      <w:r>
        <w:rPr>
          <w:rFonts w:ascii="宋体" w:hAnsi="宋体" w:eastAsia="宋体"/>
          <w:color w:val="auto"/>
          <w:sz w:val="24"/>
          <w:highlight w:val="none"/>
        </w:rPr>
        <w:t>另有规定，否则业绩</w:t>
      </w:r>
      <w:r>
        <w:rPr>
          <w:rFonts w:hint="eastAsia" w:ascii="宋体" w:hAnsi="宋体" w:eastAsia="宋体"/>
          <w:color w:val="auto"/>
          <w:sz w:val="24"/>
          <w:highlight w:val="none"/>
        </w:rPr>
        <w:t>均为已服务</w:t>
      </w:r>
      <w:r>
        <w:rPr>
          <w:rFonts w:ascii="宋体" w:hAnsi="宋体" w:eastAsia="宋体"/>
          <w:color w:val="auto"/>
          <w:sz w:val="24"/>
          <w:highlight w:val="none"/>
        </w:rPr>
        <w:t>完毕的</w:t>
      </w:r>
      <w:r>
        <w:rPr>
          <w:rFonts w:hint="eastAsia" w:ascii="宋体" w:hAnsi="宋体" w:eastAsia="宋体"/>
          <w:color w:val="auto"/>
          <w:sz w:val="24"/>
          <w:highlight w:val="none"/>
        </w:rPr>
        <w:t>业绩，业绩</w:t>
      </w:r>
      <w:r>
        <w:rPr>
          <w:rFonts w:ascii="宋体" w:hAnsi="宋体" w:eastAsia="宋体"/>
          <w:color w:val="auto"/>
          <w:sz w:val="24"/>
          <w:highlight w:val="none"/>
        </w:rPr>
        <w:t>时间均以合同签订之日为追溯</w:t>
      </w:r>
      <w:r>
        <w:rPr>
          <w:rFonts w:hint="eastAsia" w:ascii="宋体" w:hAnsi="宋体" w:eastAsia="宋体"/>
          <w:color w:val="auto"/>
          <w:sz w:val="24"/>
          <w:highlight w:val="none"/>
        </w:rPr>
        <w:t>节</w:t>
      </w:r>
      <w:r>
        <w:rPr>
          <w:rFonts w:ascii="宋体" w:hAnsi="宋体" w:eastAsia="宋体"/>
          <w:color w:val="auto"/>
          <w:sz w:val="24"/>
          <w:highlight w:val="none"/>
        </w:rPr>
        <w:t>点。</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3</w:t>
      </w:r>
      <w:r>
        <w:rPr>
          <w:rFonts w:ascii="宋体" w:hAnsi="宋体" w:eastAsia="宋体"/>
          <w:b/>
          <w:color w:val="auto"/>
          <w:sz w:val="24"/>
          <w:highlight w:val="none"/>
        </w:rPr>
        <w:t>.</w:t>
      </w:r>
      <w:r>
        <w:rPr>
          <w:rFonts w:hint="eastAsia" w:ascii="宋体" w:hAnsi="宋体" w:eastAsia="宋体"/>
          <w:b/>
          <w:color w:val="auto"/>
          <w:sz w:val="24"/>
          <w:highlight w:val="none"/>
        </w:rPr>
        <w:t>采购人、采购代理机构及供应商</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.1采购人：是指依法开展政府采购活动的国家机关、事业单位、团体组织。</w:t>
      </w:r>
      <w:r>
        <w:rPr>
          <w:rFonts w:hint="eastAsia" w:ascii="宋体" w:hAnsi="宋体" w:eastAsia="宋体"/>
          <w:color w:val="auto"/>
          <w:sz w:val="24"/>
          <w:highlight w:val="none"/>
        </w:rPr>
        <w:t>本项目的采购人见</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.2采购代理机构：是指集中采购机构或从事采购代理业务的社会中介机构。本项目的采购代理机构见</w:t>
      </w:r>
      <w:r>
        <w:rPr>
          <w:rFonts w:hint="eastAsia" w:ascii="宋体" w:hAnsi="宋体" w:eastAsia="宋体"/>
          <w:color w:val="auto"/>
          <w:sz w:val="24"/>
          <w:highlight w:val="none"/>
          <w:u w:val="single"/>
        </w:rPr>
        <w:t>供应商须知前附表</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3.3政府采购监督管理部门：</w:t>
      </w:r>
      <w:r>
        <w:rPr>
          <w:rFonts w:hint="eastAsia" w:ascii="宋体" w:hAnsi="宋体" w:eastAsia="宋体"/>
          <w:color w:val="auto"/>
          <w:sz w:val="24"/>
          <w:highlight w:val="none"/>
        </w:rPr>
        <w:t>各级人民政府指定的有关部门依法履行与政府采购活动有关的监督管理职责。本项目的政府采购监督管理部门见</w:t>
      </w:r>
      <w:r>
        <w:rPr>
          <w:rFonts w:hint="eastAsia" w:ascii="宋体" w:hAnsi="宋体" w:eastAsia="宋体"/>
          <w:color w:val="auto"/>
          <w:sz w:val="24"/>
          <w:highlight w:val="none"/>
          <w:u w:val="single"/>
        </w:rPr>
        <w:t>供应商须知前附表</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.4</w:t>
      </w:r>
      <w:r>
        <w:rPr>
          <w:rFonts w:hint="eastAsia" w:ascii="宋体" w:hAnsi="宋体" w:eastAsia="宋体"/>
          <w:color w:val="auto"/>
          <w:sz w:val="24"/>
          <w:highlight w:val="none"/>
        </w:rPr>
        <w:t>供应商</w:t>
      </w:r>
      <w:r>
        <w:rPr>
          <w:rFonts w:ascii="宋体" w:hAnsi="宋体" w:eastAsia="宋体"/>
          <w:color w:val="auto"/>
          <w:sz w:val="24"/>
          <w:highlight w:val="none"/>
        </w:rPr>
        <w:t>：是指向采购人提供货物、工程或者服务的法人、非法人组织或者自然人。</w:t>
      </w:r>
      <w:r>
        <w:rPr>
          <w:rFonts w:hint="eastAsia" w:ascii="宋体" w:hAnsi="宋体" w:eastAsia="宋体"/>
          <w:color w:val="auto"/>
          <w:sz w:val="24"/>
          <w:highlight w:val="none"/>
        </w:rPr>
        <w:t>分支机构不得参加政府采购活动，但银行、保险、石油石化、电力、电信等特殊行业除外。</w:t>
      </w:r>
      <w:r>
        <w:rPr>
          <w:rFonts w:ascii="宋体" w:hAnsi="宋体" w:eastAsia="宋体"/>
          <w:color w:val="auto"/>
          <w:sz w:val="24"/>
          <w:highlight w:val="none"/>
        </w:rPr>
        <w:t>本项目的</w:t>
      </w:r>
      <w:r>
        <w:rPr>
          <w:rFonts w:hint="eastAsia" w:ascii="宋体" w:hAnsi="宋体" w:eastAsia="宋体"/>
          <w:color w:val="auto"/>
          <w:sz w:val="24"/>
          <w:highlight w:val="none"/>
        </w:rPr>
        <w:t>供应商</w:t>
      </w:r>
      <w:r>
        <w:rPr>
          <w:rFonts w:ascii="宋体" w:hAnsi="宋体" w:eastAsia="宋体"/>
          <w:color w:val="auto"/>
          <w:sz w:val="24"/>
          <w:highlight w:val="none"/>
        </w:rPr>
        <w:t>须满足以下条件：</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.4.1在中华人民共和国境内注册，能够独立承担民事责任，有生产或供应能力的本国供应商。</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.4.2具备《中华人民共和国政府采购法》第二十二条关于供应商条件的规定，遵守本项目采购人本级和上级财政部门政府采购的有关规定。</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.4.3以采购代理机构认可的方式获得了本项目的</w:t>
      </w:r>
      <w:r>
        <w:rPr>
          <w:rFonts w:hint="eastAsia" w:ascii="宋体" w:hAnsi="宋体" w:eastAsia="宋体"/>
          <w:color w:val="auto"/>
          <w:sz w:val="24"/>
          <w:highlight w:val="none"/>
        </w:rPr>
        <w:t>磋商</w:t>
      </w:r>
      <w:r>
        <w:rPr>
          <w:rFonts w:ascii="宋体" w:hAnsi="宋体" w:eastAsia="宋体"/>
          <w:color w:val="auto"/>
          <w:sz w:val="24"/>
          <w:highlight w:val="none"/>
        </w:rPr>
        <w:t>文件。</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.4.4若</w:t>
      </w:r>
      <w:r>
        <w:rPr>
          <w:rFonts w:hint="eastAsia" w:ascii="宋体" w:hAnsi="宋体" w:eastAsia="宋体"/>
          <w:color w:val="auto"/>
          <w:sz w:val="24"/>
          <w:highlight w:val="none"/>
          <w:u w:val="single"/>
        </w:rPr>
        <w:t>供应商须知前附表</w:t>
      </w:r>
      <w:r>
        <w:rPr>
          <w:rFonts w:ascii="宋体" w:hAnsi="宋体" w:eastAsia="宋体"/>
          <w:color w:val="auto"/>
          <w:sz w:val="24"/>
          <w:highlight w:val="none"/>
        </w:rPr>
        <w:t>中写明专门面向中小企业采购的，如</w:t>
      </w:r>
      <w:r>
        <w:rPr>
          <w:rFonts w:hint="eastAsia" w:ascii="宋体" w:hAnsi="宋体" w:eastAsia="宋体"/>
          <w:color w:val="auto"/>
          <w:sz w:val="24"/>
          <w:highlight w:val="none"/>
        </w:rPr>
        <w:t>供应商提供的服务非</w:t>
      </w:r>
      <w:r>
        <w:rPr>
          <w:rFonts w:ascii="宋体" w:hAnsi="宋体" w:eastAsia="宋体"/>
          <w:color w:val="auto"/>
          <w:sz w:val="24"/>
          <w:highlight w:val="none"/>
        </w:rPr>
        <w:t>中小企业</w:t>
      </w:r>
      <w:r>
        <w:rPr>
          <w:rFonts w:hint="eastAsia" w:ascii="宋体" w:hAnsi="宋体" w:eastAsia="宋体"/>
          <w:color w:val="auto"/>
          <w:sz w:val="24"/>
          <w:highlight w:val="none"/>
        </w:rPr>
        <w:t>承接的</w:t>
      </w:r>
      <w:r>
        <w:rPr>
          <w:rFonts w:ascii="宋体" w:hAnsi="宋体" w:eastAsia="宋体"/>
          <w:color w:val="auto"/>
          <w:sz w:val="24"/>
          <w:highlight w:val="none"/>
        </w:rPr>
        <w:t>，其</w:t>
      </w:r>
      <w:r>
        <w:rPr>
          <w:rFonts w:hint="eastAsia" w:ascii="宋体" w:hAnsi="宋体" w:eastAsia="宋体"/>
          <w:color w:val="auto"/>
          <w:sz w:val="24"/>
          <w:highlight w:val="none"/>
        </w:rPr>
        <w:t>响应文件将被认定为</w:t>
      </w:r>
      <w:r>
        <w:rPr>
          <w:rFonts w:hint="eastAsia" w:ascii="宋体" w:hAnsi="宋体" w:eastAsia="宋体"/>
          <w:b/>
          <w:color w:val="auto"/>
          <w:sz w:val="24"/>
          <w:highlight w:val="none"/>
        </w:rPr>
        <w:t>响应无效</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bCs/>
          <w:color w:val="auto"/>
          <w:sz w:val="24"/>
          <w:highlight w:val="none"/>
        </w:rPr>
        <w:t>3</w:t>
      </w:r>
      <w:r>
        <w:rPr>
          <w:rFonts w:ascii="宋体" w:hAnsi="宋体" w:eastAsia="宋体"/>
          <w:bCs/>
          <w:color w:val="auto"/>
          <w:sz w:val="24"/>
          <w:highlight w:val="none"/>
        </w:rPr>
        <w:t>.5</w:t>
      </w:r>
      <w:r>
        <w:rPr>
          <w:rFonts w:hint="eastAsia" w:ascii="宋体" w:hAnsi="宋体" w:eastAsia="宋体"/>
          <w:bCs/>
          <w:color w:val="auto"/>
          <w:sz w:val="24"/>
          <w:highlight w:val="none"/>
        </w:rPr>
        <w:t>若竞争性磋商公告</w:t>
      </w:r>
      <w:r>
        <w:rPr>
          <w:rFonts w:ascii="宋体" w:hAnsi="宋体" w:eastAsia="宋体"/>
          <w:bCs/>
          <w:color w:val="auto"/>
          <w:sz w:val="24"/>
          <w:highlight w:val="none"/>
        </w:rPr>
        <w:t>中允许联合体</w:t>
      </w:r>
      <w:r>
        <w:rPr>
          <w:rFonts w:hint="eastAsia" w:ascii="宋体" w:hAnsi="宋体" w:eastAsia="宋体"/>
          <w:bCs/>
          <w:color w:val="auto"/>
          <w:sz w:val="24"/>
          <w:highlight w:val="none"/>
        </w:rPr>
        <w:t>参加磋商</w:t>
      </w:r>
      <w:r>
        <w:rPr>
          <w:rFonts w:ascii="宋体" w:hAnsi="宋体" w:eastAsia="宋体"/>
          <w:bCs/>
          <w:color w:val="auto"/>
          <w:sz w:val="24"/>
          <w:highlight w:val="none"/>
        </w:rPr>
        <w:t>，对联合体规定如下：</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.1</w:t>
      </w:r>
      <w:r>
        <w:rPr>
          <w:rFonts w:hint="eastAsia" w:ascii="宋体" w:hAnsi="宋体" w:eastAsia="宋体"/>
          <w:color w:val="auto"/>
          <w:sz w:val="24"/>
          <w:highlight w:val="none"/>
        </w:rPr>
        <w:t>两个以上供应商可以组成一个磋商联合体，以一个供应商的身份磋商</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.2联合体各方均应符合《中华人民共和国政府采购法》第二十二条规定的条件。</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.3采购人根据采购项目对</w:t>
      </w:r>
      <w:r>
        <w:rPr>
          <w:rFonts w:hint="eastAsia" w:ascii="宋体" w:hAnsi="宋体" w:eastAsia="宋体"/>
          <w:color w:val="auto"/>
          <w:sz w:val="24"/>
          <w:highlight w:val="none"/>
        </w:rPr>
        <w:t>供应商</w:t>
      </w:r>
      <w:r>
        <w:rPr>
          <w:rFonts w:ascii="宋体" w:hAnsi="宋体" w:eastAsia="宋体"/>
          <w:color w:val="auto"/>
          <w:sz w:val="24"/>
          <w:highlight w:val="none"/>
        </w:rPr>
        <w:t>的特殊要求，联合体中至少应当有一方符合相关规定。</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.4联合体各方应签订</w:t>
      </w:r>
      <w:r>
        <w:rPr>
          <w:rFonts w:hint="eastAsia" w:ascii="宋体" w:hAnsi="宋体" w:eastAsia="宋体"/>
          <w:color w:val="auto"/>
          <w:sz w:val="24"/>
          <w:highlight w:val="none"/>
        </w:rPr>
        <w:t>联合协议</w:t>
      </w:r>
      <w:r>
        <w:rPr>
          <w:rFonts w:ascii="宋体" w:hAnsi="宋体" w:eastAsia="宋体"/>
          <w:color w:val="auto"/>
          <w:sz w:val="24"/>
          <w:highlight w:val="none"/>
        </w:rPr>
        <w:t>，明确约定联合体各方承担的工作和相应的责任，并将</w:t>
      </w:r>
      <w:r>
        <w:rPr>
          <w:rFonts w:hint="eastAsia" w:ascii="宋体" w:hAnsi="宋体" w:eastAsia="宋体"/>
          <w:color w:val="auto"/>
          <w:sz w:val="24"/>
          <w:highlight w:val="none"/>
        </w:rPr>
        <w:t>联合协议</w:t>
      </w:r>
      <w:r>
        <w:rPr>
          <w:rFonts w:ascii="宋体" w:hAnsi="宋体" w:eastAsia="宋体"/>
          <w:color w:val="auto"/>
          <w:sz w:val="24"/>
          <w:highlight w:val="none"/>
        </w:rPr>
        <w:t>作为</w:t>
      </w:r>
      <w:r>
        <w:rPr>
          <w:rFonts w:hint="eastAsia" w:ascii="宋体" w:hAnsi="宋体" w:eastAsia="宋体"/>
          <w:color w:val="auto"/>
          <w:sz w:val="24"/>
          <w:highlight w:val="none"/>
        </w:rPr>
        <w:t>响应</w:t>
      </w:r>
      <w:r>
        <w:rPr>
          <w:rFonts w:ascii="宋体" w:hAnsi="宋体" w:eastAsia="宋体"/>
          <w:color w:val="auto"/>
          <w:sz w:val="24"/>
          <w:highlight w:val="none"/>
        </w:rPr>
        <w:t>文件</w:t>
      </w:r>
      <w:r>
        <w:rPr>
          <w:rFonts w:hint="eastAsia" w:ascii="宋体" w:hAnsi="宋体" w:eastAsia="宋体"/>
          <w:color w:val="auto"/>
          <w:sz w:val="24"/>
          <w:highlight w:val="none"/>
        </w:rPr>
        <w:t>的</w:t>
      </w:r>
      <w:r>
        <w:rPr>
          <w:rFonts w:ascii="宋体" w:hAnsi="宋体" w:eastAsia="宋体"/>
          <w:color w:val="auto"/>
          <w:sz w:val="24"/>
          <w:highlight w:val="none"/>
        </w:rPr>
        <w:t>一部分提交。</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.5大中型企业、其他自然人、法人或者非法人组织与小型、微型企业组成联合体共同参加</w:t>
      </w:r>
      <w:r>
        <w:rPr>
          <w:rFonts w:hint="eastAsia" w:ascii="宋体" w:hAnsi="宋体" w:eastAsia="宋体"/>
          <w:color w:val="auto"/>
          <w:sz w:val="24"/>
          <w:highlight w:val="none"/>
        </w:rPr>
        <w:t>磋商</w:t>
      </w:r>
      <w:r>
        <w:rPr>
          <w:rFonts w:ascii="宋体" w:hAnsi="宋体" w:eastAsia="宋体"/>
          <w:color w:val="auto"/>
          <w:sz w:val="24"/>
          <w:highlight w:val="none"/>
        </w:rPr>
        <w:t>，</w:t>
      </w:r>
      <w:r>
        <w:rPr>
          <w:rFonts w:hint="eastAsia" w:ascii="宋体" w:hAnsi="宋体" w:eastAsia="宋体"/>
          <w:color w:val="auto"/>
          <w:sz w:val="24"/>
          <w:highlight w:val="none"/>
        </w:rPr>
        <w:t>联合协议中</w:t>
      </w:r>
      <w:r>
        <w:rPr>
          <w:rFonts w:ascii="宋体" w:hAnsi="宋体" w:eastAsia="宋体"/>
          <w:color w:val="auto"/>
          <w:sz w:val="24"/>
          <w:highlight w:val="none"/>
        </w:rPr>
        <w:t>应写明小型、微型企业的协议合同金额占到</w:t>
      </w:r>
      <w:r>
        <w:rPr>
          <w:rFonts w:hint="eastAsia" w:ascii="宋体" w:hAnsi="宋体" w:eastAsia="宋体"/>
          <w:color w:val="auto"/>
          <w:sz w:val="24"/>
          <w:highlight w:val="none"/>
        </w:rPr>
        <w:t>联合协议合同</w:t>
      </w:r>
      <w:r>
        <w:rPr>
          <w:rFonts w:ascii="宋体" w:hAnsi="宋体" w:eastAsia="宋体"/>
          <w:color w:val="auto"/>
          <w:sz w:val="24"/>
          <w:highlight w:val="none"/>
        </w:rPr>
        <w:t>总金额的比例。</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.5.6</w:t>
      </w:r>
      <w:r>
        <w:rPr>
          <w:rFonts w:hint="eastAsia" w:ascii="宋体" w:hAnsi="宋体" w:eastAsia="宋体"/>
          <w:color w:val="auto"/>
          <w:sz w:val="24"/>
          <w:highlight w:val="none"/>
        </w:rPr>
        <w:t>联合体中有同类资质的供应商按照联合体分工承担相同工作的，</w:t>
      </w:r>
      <w:r>
        <w:rPr>
          <w:rFonts w:ascii="宋体" w:hAnsi="宋体" w:eastAsia="宋体"/>
          <w:color w:val="auto"/>
          <w:sz w:val="24"/>
          <w:highlight w:val="none"/>
        </w:rPr>
        <w:t>应当按照</w:t>
      </w:r>
      <w:r>
        <w:rPr>
          <w:rFonts w:hint="eastAsia" w:ascii="宋体" w:hAnsi="宋体" w:eastAsia="宋体"/>
          <w:color w:val="auto"/>
          <w:sz w:val="24"/>
          <w:highlight w:val="none"/>
        </w:rPr>
        <w:t>资质等级较低的供应商确定资质等级。</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.7以联合体形式参加政府采购活动的，联合体各方不得再单独参加或者与其他供应商另外组成联合体参加本项目</w:t>
      </w:r>
      <w:r>
        <w:rPr>
          <w:rFonts w:hint="eastAsia" w:ascii="宋体" w:hAnsi="宋体" w:eastAsia="宋体"/>
          <w:color w:val="auto"/>
          <w:sz w:val="24"/>
          <w:highlight w:val="none"/>
        </w:rPr>
        <w:t>磋商</w:t>
      </w:r>
      <w:r>
        <w:rPr>
          <w:rFonts w:ascii="宋体" w:hAnsi="宋体" w:eastAsia="宋体"/>
          <w:color w:val="auto"/>
          <w:sz w:val="24"/>
          <w:highlight w:val="none"/>
        </w:rPr>
        <w:t>，否则相关</w:t>
      </w:r>
      <w:r>
        <w:rPr>
          <w:rFonts w:hint="eastAsia" w:ascii="宋体" w:hAnsi="宋体" w:eastAsia="宋体"/>
          <w:color w:val="auto"/>
          <w:sz w:val="24"/>
          <w:highlight w:val="none"/>
        </w:rPr>
        <w:t>响应文件将被认定为</w:t>
      </w:r>
      <w:r>
        <w:rPr>
          <w:rFonts w:hint="eastAsia" w:ascii="宋体" w:hAnsi="宋体" w:eastAsia="宋体"/>
          <w:b/>
          <w:color w:val="auto"/>
          <w:sz w:val="24"/>
          <w:highlight w:val="none"/>
        </w:rPr>
        <w:t>响应无效</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.8对联合体参加磋商的其他资格要求见</w:t>
      </w:r>
      <w:r>
        <w:rPr>
          <w:rFonts w:hint="eastAsia" w:ascii="宋体" w:hAnsi="宋体" w:eastAsia="宋体"/>
          <w:color w:val="auto"/>
          <w:sz w:val="24"/>
          <w:highlight w:val="none"/>
        </w:rPr>
        <w:t>供应商资格</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rPr>
        <w:t>6</w:t>
      </w:r>
      <w:r>
        <w:rPr>
          <w:rFonts w:ascii="宋体" w:hAnsi="宋体" w:eastAsia="宋体"/>
          <w:color w:val="auto"/>
          <w:sz w:val="24"/>
          <w:highlight w:val="none"/>
        </w:rPr>
        <w:t>单位负责人为同一人或者存在直接控股、管理关系的不同供应商，</w:t>
      </w:r>
      <w:r>
        <w:rPr>
          <w:rFonts w:hint="eastAsia" w:ascii="宋体" w:hAnsi="宋体" w:eastAsia="宋体"/>
          <w:color w:val="auto"/>
          <w:sz w:val="24"/>
          <w:highlight w:val="none"/>
        </w:rPr>
        <w:t>不得参加同一合同项下的政府采购活动。否则</w:t>
      </w:r>
      <w:r>
        <w:rPr>
          <w:rFonts w:ascii="宋体" w:hAnsi="宋体" w:eastAsia="宋体"/>
          <w:color w:val="auto"/>
          <w:sz w:val="24"/>
          <w:highlight w:val="none"/>
        </w:rPr>
        <w:t>其相关</w:t>
      </w:r>
      <w:r>
        <w:rPr>
          <w:rFonts w:hint="eastAsia" w:ascii="宋体" w:hAnsi="宋体" w:eastAsia="宋体"/>
          <w:color w:val="auto"/>
          <w:sz w:val="24"/>
          <w:highlight w:val="none"/>
        </w:rPr>
        <w:t>响应文件将被认定为</w:t>
      </w:r>
      <w:r>
        <w:rPr>
          <w:rFonts w:hint="eastAsia" w:ascii="宋体" w:hAnsi="宋体" w:eastAsia="宋体"/>
          <w:b/>
          <w:color w:val="auto"/>
          <w:sz w:val="24"/>
          <w:highlight w:val="none"/>
        </w:rPr>
        <w:t>响应无效</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w:t>
      </w:r>
      <w:r>
        <w:rPr>
          <w:rFonts w:ascii="宋体" w:hAnsi="宋体" w:eastAsia="宋体"/>
          <w:color w:val="auto"/>
          <w:sz w:val="24"/>
          <w:highlight w:val="none"/>
        </w:rPr>
        <w:t>.</w:t>
      </w:r>
      <w:r>
        <w:rPr>
          <w:rFonts w:hint="eastAsia" w:ascii="宋体" w:hAnsi="宋体" w:eastAsia="宋体"/>
          <w:color w:val="auto"/>
          <w:sz w:val="24"/>
          <w:highlight w:val="none"/>
        </w:rPr>
        <w:t>7</w:t>
      </w:r>
      <w:r>
        <w:rPr>
          <w:rFonts w:ascii="宋体" w:hAnsi="宋体" w:eastAsia="宋体"/>
          <w:color w:val="auto"/>
          <w:sz w:val="24"/>
          <w:highlight w:val="none"/>
        </w:rPr>
        <w:t>为本项目提供过整体设计、规范编制或者项目管理、监理、检测等服务的供应商，不得再参加本项目上述服务以外的其他采购活动。否则其</w:t>
      </w:r>
      <w:r>
        <w:rPr>
          <w:rFonts w:hint="eastAsia" w:ascii="宋体" w:hAnsi="宋体" w:eastAsia="宋体"/>
          <w:color w:val="auto"/>
          <w:sz w:val="24"/>
          <w:highlight w:val="none"/>
        </w:rPr>
        <w:t>响应文件将被认定为</w:t>
      </w:r>
      <w:r>
        <w:rPr>
          <w:rFonts w:hint="eastAsia" w:ascii="宋体" w:hAnsi="宋体" w:eastAsia="宋体"/>
          <w:b/>
          <w:color w:val="auto"/>
          <w:sz w:val="24"/>
          <w:highlight w:val="none"/>
        </w:rPr>
        <w:t>响应无效</w:t>
      </w:r>
      <w:r>
        <w:rPr>
          <w:rFonts w:ascii="宋体" w:hAnsi="宋体" w:eastAsia="宋体"/>
          <w:color w:val="auto"/>
          <w:sz w:val="24"/>
          <w:highlight w:val="none"/>
        </w:rPr>
        <w:t>。</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4</w:t>
      </w:r>
      <w:r>
        <w:rPr>
          <w:rFonts w:ascii="宋体" w:hAnsi="宋体" w:eastAsia="宋体"/>
          <w:b/>
          <w:color w:val="auto"/>
          <w:sz w:val="24"/>
          <w:highlight w:val="none"/>
        </w:rPr>
        <w:t>.</w:t>
      </w:r>
      <w:r>
        <w:rPr>
          <w:rFonts w:hint="eastAsia" w:ascii="宋体" w:hAnsi="宋体" w:eastAsia="宋体"/>
          <w:b/>
          <w:color w:val="auto"/>
          <w:sz w:val="24"/>
          <w:highlight w:val="none"/>
        </w:rPr>
        <w:t>资金来源</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4.1本项目的采购人已获得足以支付本次磋商后所签订的合同项下的资金。</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4.2项目预算金额</w:t>
      </w:r>
      <w:r>
        <w:rPr>
          <w:rFonts w:hint="eastAsia" w:ascii="宋体" w:hAnsi="宋体" w:eastAsia="宋体"/>
          <w:color w:val="auto"/>
          <w:sz w:val="24"/>
          <w:highlight w:val="none"/>
        </w:rPr>
        <w:t>或</w:t>
      </w:r>
      <w:r>
        <w:rPr>
          <w:rFonts w:ascii="宋体" w:hAnsi="宋体" w:eastAsia="宋体"/>
          <w:color w:val="auto"/>
          <w:sz w:val="24"/>
          <w:highlight w:val="none"/>
        </w:rPr>
        <w:t>分项（或分包）预算金额见磋商邀请。</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5</w:t>
      </w:r>
      <w:r>
        <w:rPr>
          <w:rFonts w:ascii="宋体" w:hAnsi="宋体" w:eastAsia="宋体"/>
          <w:b/>
          <w:color w:val="auto"/>
          <w:sz w:val="24"/>
          <w:highlight w:val="none"/>
        </w:rPr>
        <w:t>.</w:t>
      </w:r>
      <w:r>
        <w:rPr>
          <w:rFonts w:hint="eastAsia" w:ascii="宋体" w:hAnsi="宋体" w:eastAsia="宋体"/>
          <w:b/>
          <w:color w:val="auto"/>
          <w:sz w:val="24"/>
          <w:highlight w:val="none"/>
        </w:rPr>
        <w:t>磋商费用</w:t>
      </w:r>
    </w:p>
    <w:p>
      <w:pPr>
        <w:spacing w:line="360" w:lineRule="auto"/>
        <w:ind w:firstLine="437"/>
        <w:rPr>
          <w:rFonts w:ascii="宋体" w:hAnsi="宋体" w:eastAsia="宋体"/>
          <w:color w:val="auto"/>
          <w:sz w:val="24"/>
          <w:highlight w:val="none"/>
        </w:rPr>
      </w:pPr>
      <w:r>
        <w:rPr>
          <w:rFonts w:hint="eastAsia" w:ascii="宋体" w:hAnsi="宋体" w:eastAsia="宋体"/>
          <w:color w:val="auto"/>
          <w:sz w:val="24"/>
          <w:highlight w:val="none"/>
        </w:rPr>
        <w:t>不论磋商的结果如何，供应商应承担其所有与准备和参加磋商有关的费用。</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6</w:t>
      </w:r>
      <w:r>
        <w:rPr>
          <w:rFonts w:ascii="宋体" w:hAnsi="宋体" w:eastAsia="宋体"/>
          <w:b/>
          <w:color w:val="auto"/>
          <w:sz w:val="24"/>
          <w:highlight w:val="none"/>
        </w:rPr>
        <w:t>.</w:t>
      </w:r>
      <w:r>
        <w:rPr>
          <w:rFonts w:hint="eastAsia" w:ascii="宋体" w:hAnsi="宋体" w:eastAsia="宋体"/>
          <w:b/>
          <w:color w:val="auto"/>
          <w:sz w:val="24"/>
          <w:highlight w:val="none"/>
        </w:rPr>
        <w:t>适用法律</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本项目采购人、采购代理机构、供应商、磋商小组的相关行为均受《中华人民共和国政府采购法》、《中华人民共和国政府采购法实施条例》及本项目本级和上级财政部门、政府采购监督管理部门的政府采购有关规定的约束，其权利受到上述法律法规的保护。</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7</w:t>
      </w:r>
      <w:r>
        <w:rPr>
          <w:rFonts w:ascii="宋体" w:hAnsi="宋体" w:eastAsia="宋体"/>
          <w:b/>
          <w:color w:val="auto"/>
          <w:sz w:val="24"/>
          <w:highlight w:val="none"/>
        </w:rPr>
        <w:t>.</w:t>
      </w:r>
      <w:r>
        <w:rPr>
          <w:rFonts w:hint="eastAsia" w:ascii="宋体" w:hAnsi="宋体" w:eastAsia="宋体"/>
          <w:b/>
          <w:color w:val="auto"/>
          <w:sz w:val="24"/>
          <w:highlight w:val="none"/>
        </w:rPr>
        <w:t>磋商文件构成</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7.1磋商文件包括下列内容：</w:t>
      </w:r>
    </w:p>
    <w:p>
      <w:pPr>
        <w:spacing w:line="360" w:lineRule="auto"/>
        <w:ind w:firstLine="840" w:firstLineChars="350"/>
        <w:rPr>
          <w:rFonts w:ascii="宋体" w:hAnsi="宋体" w:eastAsia="宋体"/>
          <w:color w:val="auto"/>
          <w:sz w:val="24"/>
          <w:highlight w:val="none"/>
        </w:rPr>
      </w:pPr>
      <w:r>
        <w:rPr>
          <w:rFonts w:hint="eastAsia" w:ascii="宋体" w:hAnsi="宋体" w:eastAsia="宋体"/>
          <w:color w:val="auto"/>
          <w:sz w:val="24"/>
          <w:highlight w:val="none"/>
        </w:rPr>
        <w:t>第一章</w:t>
      </w:r>
      <w:r>
        <w:rPr>
          <w:rFonts w:ascii="宋体" w:hAnsi="宋体" w:eastAsia="宋体"/>
          <w:color w:val="auto"/>
          <w:sz w:val="24"/>
          <w:highlight w:val="none"/>
        </w:rPr>
        <w:t xml:space="preserve">  </w:t>
      </w:r>
      <w:r>
        <w:rPr>
          <w:rFonts w:hint="eastAsia" w:ascii="宋体" w:hAnsi="宋体" w:eastAsia="宋体"/>
          <w:color w:val="auto"/>
          <w:sz w:val="24"/>
          <w:highlight w:val="none"/>
        </w:rPr>
        <w:t>磋商邀请</w:t>
      </w:r>
    </w:p>
    <w:p>
      <w:pPr>
        <w:spacing w:line="360" w:lineRule="auto"/>
        <w:ind w:firstLine="840" w:firstLineChars="350"/>
        <w:rPr>
          <w:rFonts w:ascii="宋体" w:hAnsi="宋体" w:eastAsia="宋体"/>
          <w:color w:val="auto"/>
          <w:sz w:val="24"/>
          <w:highlight w:val="none"/>
        </w:rPr>
      </w:pPr>
      <w:r>
        <w:rPr>
          <w:rFonts w:hint="eastAsia" w:ascii="宋体" w:hAnsi="宋体" w:eastAsia="宋体"/>
          <w:color w:val="auto"/>
          <w:sz w:val="24"/>
          <w:highlight w:val="none"/>
        </w:rPr>
        <w:t>第二章</w:t>
      </w:r>
      <w:r>
        <w:rPr>
          <w:rFonts w:ascii="宋体" w:hAnsi="宋体" w:eastAsia="宋体"/>
          <w:color w:val="auto"/>
          <w:sz w:val="24"/>
          <w:highlight w:val="none"/>
        </w:rPr>
        <w:t xml:space="preserve">  </w:t>
      </w:r>
      <w:r>
        <w:rPr>
          <w:rFonts w:hint="eastAsia" w:ascii="宋体" w:hAnsi="宋体" w:eastAsia="宋体"/>
          <w:color w:val="auto"/>
          <w:sz w:val="24"/>
          <w:highlight w:val="none"/>
        </w:rPr>
        <w:t>供应商</w:t>
      </w:r>
      <w:r>
        <w:rPr>
          <w:rFonts w:ascii="宋体" w:hAnsi="宋体" w:eastAsia="宋体"/>
          <w:color w:val="auto"/>
          <w:sz w:val="24"/>
          <w:highlight w:val="none"/>
        </w:rPr>
        <w:t>须知</w:t>
      </w:r>
    </w:p>
    <w:p>
      <w:pPr>
        <w:spacing w:line="360" w:lineRule="auto"/>
        <w:ind w:firstLine="840" w:firstLineChars="350"/>
        <w:rPr>
          <w:rFonts w:ascii="宋体" w:hAnsi="宋体" w:eastAsia="宋体"/>
          <w:color w:val="auto"/>
          <w:sz w:val="24"/>
          <w:highlight w:val="none"/>
        </w:rPr>
      </w:pPr>
      <w:r>
        <w:rPr>
          <w:rFonts w:hint="eastAsia" w:ascii="宋体" w:hAnsi="宋体" w:eastAsia="宋体"/>
          <w:color w:val="auto"/>
          <w:sz w:val="24"/>
          <w:highlight w:val="none"/>
        </w:rPr>
        <w:t>第三章</w:t>
      </w:r>
      <w:r>
        <w:rPr>
          <w:rFonts w:ascii="宋体" w:hAnsi="宋体" w:eastAsia="宋体"/>
          <w:color w:val="auto"/>
          <w:sz w:val="24"/>
          <w:highlight w:val="none"/>
        </w:rPr>
        <w:t xml:space="preserve">  采购需求</w:t>
      </w:r>
    </w:p>
    <w:p>
      <w:pPr>
        <w:spacing w:line="360" w:lineRule="auto"/>
        <w:ind w:firstLine="840" w:firstLineChars="350"/>
        <w:rPr>
          <w:rFonts w:ascii="宋体" w:hAnsi="宋体" w:eastAsia="宋体"/>
          <w:color w:val="auto"/>
          <w:sz w:val="24"/>
          <w:highlight w:val="none"/>
        </w:rPr>
      </w:pPr>
      <w:r>
        <w:rPr>
          <w:rFonts w:hint="eastAsia" w:ascii="宋体" w:hAnsi="宋体" w:eastAsia="宋体"/>
          <w:color w:val="auto"/>
          <w:sz w:val="24"/>
          <w:highlight w:val="none"/>
        </w:rPr>
        <w:t>第四章</w:t>
      </w:r>
      <w:r>
        <w:rPr>
          <w:rFonts w:ascii="宋体" w:hAnsi="宋体" w:eastAsia="宋体"/>
          <w:color w:val="auto"/>
          <w:sz w:val="24"/>
          <w:highlight w:val="none"/>
        </w:rPr>
        <w:t xml:space="preserve">  </w:t>
      </w:r>
      <w:r>
        <w:rPr>
          <w:rFonts w:hint="eastAsia" w:ascii="宋体" w:hAnsi="宋体" w:eastAsia="宋体"/>
          <w:color w:val="auto"/>
          <w:sz w:val="24"/>
          <w:highlight w:val="none"/>
        </w:rPr>
        <w:t>评审方法</w:t>
      </w:r>
      <w:r>
        <w:rPr>
          <w:rFonts w:ascii="宋体" w:hAnsi="宋体" w:eastAsia="宋体"/>
          <w:color w:val="auto"/>
          <w:sz w:val="24"/>
          <w:highlight w:val="none"/>
        </w:rPr>
        <w:t>和标准</w:t>
      </w:r>
    </w:p>
    <w:p>
      <w:pPr>
        <w:spacing w:line="360" w:lineRule="auto"/>
        <w:ind w:firstLine="840" w:firstLineChars="350"/>
        <w:rPr>
          <w:rFonts w:ascii="宋体" w:hAnsi="宋体" w:eastAsia="宋体"/>
          <w:color w:val="auto"/>
          <w:sz w:val="24"/>
          <w:highlight w:val="none"/>
        </w:rPr>
      </w:pPr>
      <w:r>
        <w:rPr>
          <w:rFonts w:hint="eastAsia" w:ascii="宋体" w:hAnsi="宋体" w:eastAsia="宋体"/>
          <w:color w:val="auto"/>
          <w:sz w:val="24"/>
          <w:highlight w:val="none"/>
        </w:rPr>
        <w:t>第五章</w:t>
      </w:r>
      <w:r>
        <w:rPr>
          <w:rFonts w:ascii="宋体" w:hAnsi="宋体" w:eastAsia="宋体"/>
          <w:color w:val="auto"/>
          <w:sz w:val="24"/>
          <w:highlight w:val="none"/>
        </w:rPr>
        <w:t xml:space="preserve">  政府采购合同</w:t>
      </w:r>
    </w:p>
    <w:p>
      <w:pPr>
        <w:spacing w:line="360" w:lineRule="auto"/>
        <w:ind w:firstLine="840" w:firstLineChars="350"/>
        <w:rPr>
          <w:rFonts w:ascii="宋体" w:hAnsi="宋体" w:eastAsia="宋体"/>
          <w:color w:val="auto"/>
          <w:sz w:val="24"/>
          <w:highlight w:val="none"/>
        </w:rPr>
      </w:pPr>
      <w:r>
        <w:rPr>
          <w:rFonts w:hint="eastAsia" w:ascii="宋体" w:hAnsi="宋体" w:eastAsia="宋体"/>
          <w:color w:val="auto"/>
          <w:sz w:val="24"/>
          <w:highlight w:val="none"/>
        </w:rPr>
        <w:t>第六章</w:t>
      </w:r>
      <w:r>
        <w:rPr>
          <w:rFonts w:ascii="宋体" w:hAnsi="宋体" w:eastAsia="宋体"/>
          <w:color w:val="auto"/>
          <w:sz w:val="24"/>
          <w:highlight w:val="none"/>
        </w:rPr>
        <w:t xml:space="preserve">  </w:t>
      </w:r>
      <w:r>
        <w:rPr>
          <w:rFonts w:hint="eastAsia" w:ascii="宋体" w:hAnsi="宋体" w:eastAsia="宋体"/>
          <w:color w:val="auto"/>
          <w:sz w:val="24"/>
          <w:highlight w:val="none"/>
        </w:rPr>
        <w:t>响应</w:t>
      </w:r>
      <w:r>
        <w:rPr>
          <w:rFonts w:ascii="宋体" w:hAnsi="宋体" w:eastAsia="宋体"/>
          <w:color w:val="auto"/>
          <w:sz w:val="24"/>
          <w:highlight w:val="none"/>
        </w:rPr>
        <w:t>文件格式</w:t>
      </w:r>
    </w:p>
    <w:p>
      <w:pPr>
        <w:spacing w:line="360" w:lineRule="auto"/>
        <w:ind w:firstLine="840" w:firstLineChars="350"/>
        <w:rPr>
          <w:rFonts w:ascii="宋体" w:hAnsi="宋体" w:eastAsia="宋体"/>
          <w:color w:val="auto"/>
          <w:sz w:val="24"/>
          <w:highlight w:val="none"/>
        </w:rPr>
      </w:pPr>
      <w:r>
        <w:rPr>
          <w:rFonts w:hint="eastAsia" w:ascii="宋体" w:hAnsi="宋体" w:eastAsia="宋体"/>
          <w:color w:val="auto"/>
          <w:sz w:val="24"/>
          <w:highlight w:val="none"/>
        </w:rPr>
        <w:t>第七章</w:t>
      </w:r>
      <w:r>
        <w:rPr>
          <w:rFonts w:ascii="宋体" w:hAnsi="宋体" w:eastAsia="宋体"/>
          <w:color w:val="auto"/>
          <w:sz w:val="24"/>
          <w:highlight w:val="none"/>
        </w:rPr>
        <w:t xml:space="preserve">   政府采购供应商质疑函范本</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7.2</w:t>
      </w:r>
      <w:r>
        <w:rPr>
          <w:rFonts w:hint="eastAsia" w:ascii="宋体" w:hAnsi="宋体" w:eastAsia="宋体"/>
          <w:color w:val="auto"/>
          <w:sz w:val="24"/>
          <w:highlight w:val="none"/>
        </w:rPr>
        <w:t>磋商</w:t>
      </w:r>
      <w:r>
        <w:rPr>
          <w:rFonts w:ascii="宋体" w:hAnsi="宋体" w:eastAsia="宋体"/>
          <w:color w:val="auto"/>
          <w:sz w:val="24"/>
          <w:highlight w:val="none"/>
        </w:rPr>
        <w:t>文件中有不一致的，有</w:t>
      </w:r>
      <w:r>
        <w:rPr>
          <w:rFonts w:hint="eastAsia" w:ascii="宋体" w:hAnsi="宋体" w:eastAsia="宋体"/>
          <w:color w:val="auto"/>
          <w:sz w:val="24"/>
          <w:highlight w:val="none"/>
        </w:rPr>
        <w:t>澄清</w:t>
      </w:r>
      <w:r>
        <w:rPr>
          <w:rFonts w:ascii="宋体" w:hAnsi="宋体" w:eastAsia="宋体"/>
          <w:color w:val="auto"/>
          <w:sz w:val="24"/>
          <w:highlight w:val="none"/>
        </w:rPr>
        <w:t>的部分以最终的</w:t>
      </w:r>
      <w:r>
        <w:rPr>
          <w:rFonts w:hint="eastAsia" w:ascii="宋体" w:hAnsi="宋体" w:eastAsia="宋体"/>
          <w:color w:val="auto"/>
          <w:sz w:val="24"/>
          <w:highlight w:val="none"/>
        </w:rPr>
        <w:t>澄清更正</w:t>
      </w:r>
      <w:r>
        <w:rPr>
          <w:rFonts w:ascii="宋体" w:hAnsi="宋体" w:eastAsia="宋体"/>
          <w:color w:val="auto"/>
          <w:sz w:val="24"/>
          <w:highlight w:val="none"/>
        </w:rPr>
        <w:t>内容为准</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7.3现场</w:t>
      </w:r>
      <w:r>
        <w:rPr>
          <w:rFonts w:hint="eastAsia" w:ascii="宋体" w:hAnsi="宋体" w:eastAsia="宋体"/>
          <w:color w:val="auto"/>
          <w:sz w:val="24"/>
          <w:highlight w:val="none"/>
        </w:rPr>
        <w:t>考察</w:t>
      </w:r>
      <w:r>
        <w:rPr>
          <w:rFonts w:ascii="宋体" w:hAnsi="宋体" w:eastAsia="宋体"/>
          <w:color w:val="auto"/>
          <w:sz w:val="24"/>
          <w:highlight w:val="none"/>
        </w:rPr>
        <w:t>及相关事项见</w:t>
      </w:r>
      <w:r>
        <w:rPr>
          <w:rFonts w:ascii="宋体" w:hAnsi="宋体" w:eastAsia="宋体"/>
          <w:color w:val="auto"/>
          <w:sz w:val="24"/>
          <w:highlight w:val="none"/>
          <w:u w:val="single"/>
        </w:rPr>
        <w:t>供应商须知前附表</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7.4</w:t>
      </w:r>
      <w:r>
        <w:rPr>
          <w:rFonts w:hint="eastAsia" w:ascii="宋体" w:hAnsi="宋体" w:eastAsia="宋体"/>
          <w:color w:val="auto"/>
          <w:sz w:val="24"/>
          <w:highlight w:val="none"/>
        </w:rPr>
        <w:t>供应商</w:t>
      </w:r>
      <w:r>
        <w:rPr>
          <w:rFonts w:ascii="宋体" w:hAnsi="宋体" w:eastAsia="宋体"/>
          <w:color w:val="auto"/>
          <w:sz w:val="24"/>
          <w:highlight w:val="none"/>
        </w:rPr>
        <w:t>应认真阅读</w:t>
      </w:r>
      <w:r>
        <w:rPr>
          <w:rFonts w:hint="eastAsia" w:ascii="宋体" w:hAnsi="宋体" w:eastAsia="宋体"/>
          <w:color w:val="auto"/>
          <w:sz w:val="24"/>
          <w:highlight w:val="none"/>
        </w:rPr>
        <w:t>磋商</w:t>
      </w:r>
      <w:r>
        <w:rPr>
          <w:rFonts w:ascii="宋体" w:hAnsi="宋体" w:eastAsia="宋体"/>
          <w:color w:val="auto"/>
          <w:sz w:val="24"/>
          <w:highlight w:val="none"/>
        </w:rPr>
        <w:t>文件所有的事项、格式、条款和技术规范等。</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8</w:t>
      </w:r>
      <w:r>
        <w:rPr>
          <w:rFonts w:ascii="宋体" w:hAnsi="宋体" w:eastAsia="宋体"/>
          <w:b/>
          <w:color w:val="auto"/>
          <w:sz w:val="24"/>
          <w:highlight w:val="none"/>
        </w:rPr>
        <w:t>.</w:t>
      </w:r>
      <w:r>
        <w:rPr>
          <w:rFonts w:hint="eastAsia" w:ascii="宋体" w:hAnsi="宋体" w:eastAsia="宋体"/>
          <w:b/>
          <w:color w:val="auto"/>
          <w:sz w:val="24"/>
          <w:highlight w:val="none"/>
        </w:rPr>
        <w:t>磋商文件的澄清与修改</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8</w:t>
      </w:r>
      <w:r>
        <w:rPr>
          <w:rFonts w:ascii="宋体" w:hAnsi="宋体" w:eastAsia="宋体"/>
          <w:color w:val="auto"/>
          <w:sz w:val="24"/>
          <w:highlight w:val="none"/>
        </w:rPr>
        <w:t>.</w:t>
      </w:r>
      <w:r>
        <w:rPr>
          <w:rFonts w:hint="eastAsia" w:ascii="宋体" w:hAnsi="宋体" w:eastAsia="宋体"/>
          <w:color w:val="auto"/>
          <w:sz w:val="24"/>
          <w:highlight w:val="none"/>
        </w:rPr>
        <w:t>1供应商</w:t>
      </w:r>
      <w:r>
        <w:rPr>
          <w:rFonts w:ascii="宋体" w:hAnsi="宋体" w:eastAsia="宋体"/>
          <w:color w:val="auto"/>
          <w:sz w:val="24"/>
          <w:highlight w:val="none"/>
        </w:rPr>
        <w:t>如对</w:t>
      </w:r>
      <w:r>
        <w:rPr>
          <w:rFonts w:hint="eastAsia" w:ascii="宋体" w:hAnsi="宋体" w:eastAsia="宋体"/>
          <w:color w:val="auto"/>
          <w:sz w:val="24"/>
          <w:highlight w:val="none"/>
        </w:rPr>
        <w:t>磋商</w:t>
      </w:r>
      <w:r>
        <w:rPr>
          <w:rFonts w:ascii="宋体" w:hAnsi="宋体" w:eastAsia="宋体"/>
          <w:color w:val="auto"/>
          <w:sz w:val="24"/>
          <w:highlight w:val="none"/>
        </w:rPr>
        <w:t>文件内容有疑问，必须在</w:t>
      </w:r>
      <w:r>
        <w:rPr>
          <w:rFonts w:ascii="宋体" w:hAnsi="宋体" w:eastAsia="宋体"/>
          <w:color w:val="auto"/>
          <w:sz w:val="24"/>
          <w:highlight w:val="none"/>
          <w:u w:val="single"/>
        </w:rPr>
        <w:t>供应商须知前附表</w:t>
      </w:r>
      <w:r>
        <w:rPr>
          <w:rFonts w:ascii="宋体" w:hAnsi="宋体" w:eastAsia="宋体"/>
          <w:color w:val="auto"/>
          <w:sz w:val="24"/>
          <w:highlight w:val="none"/>
        </w:rPr>
        <w:t>规定的</w:t>
      </w:r>
      <w:r>
        <w:rPr>
          <w:rFonts w:hint="eastAsia" w:ascii="宋体" w:hAnsi="宋体" w:eastAsia="宋体"/>
          <w:color w:val="auto"/>
          <w:sz w:val="24"/>
          <w:highlight w:val="none"/>
        </w:rPr>
        <w:t>网上询问</w:t>
      </w:r>
      <w:r>
        <w:rPr>
          <w:rFonts w:ascii="宋体" w:hAnsi="宋体" w:eastAsia="宋体"/>
          <w:color w:val="auto"/>
          <w:sz w:val="24"/>
          <w:highlight w:val="none"/>
        </w:rPr>
        <w:t>截止时间前以网上提问形式</w:t>
      </w:r>
      <w:r>
        <w:rPr>
          <w:rFonts w:hint="eastAsia" w:ascii="宋体" w:hAnsi="宋体" w:eastAsia="宋体"/>
          <w:color w:val="auto"/>
          <w:sz w:val="24"/>
          <w:highlight w:val="none"/>
        </w:rPr>
        <w:t>（电子交易系统）</w:t>
      </w:r>
      <w:r>
        <w:rPr>
          <w:rFonts w:ascii="宋体" w:hAnsi="宋体" w:eastAsia="宋体"/>
          <w:color w:val="auto"/>
          <w:sz w:val="24"/>
          <w:highlight w:val="none"/>
        </w:rPr>
        <w:t>提交给采购代理机构。</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8</w:t>
      </w:r>
      <w:r>
        <w:rPr>
          <w:rFonts w:ascii="宋体" w:hAnsi="宋体" w:eastAsia="宋体"/>
          <w:color w:val="auto"/>
          <w:sz w:val="24"/>
          <w:highlight w:val="none"/>
        </w:rPr>
        <w:t>.</w:t>
      </w:r>
      <w:r>
        <w:rPr>
          <w:rFonts w:hint="eastAsia" w:ascii="宋体" w:hAnsi="宋体" w:eastAsia="宋体"/>
          <w:color w:val="auto"/>
          <w:sz w:val="24"/>
          <w:highlight w:val="none"/>
        </w:rPr>
        <w:t>2采购人可主动或在解答供应商提出的问题时对磋商文件进行澄清或者修改。</w:t>
      </w:r>
      <w:r>
        <w:rPr>
          <w:rFonts w:ascii="宋体" w:hAnsi="宋体" w:eastAsia="宋体"/>
          <w:color w:val="auto"/>
          <w:sz w:val="24"/>
          <w:highlight w:val="none"/>
        </w:rPr>
        <w:t>采购代理机构将</w:t>
      </w:r>
      <w:r>
        <w:rPr>
          <w:rFonts w:hint="eastAsia" w:ascii="宋体" w:hAnsi="宋体" w:eastAsia="宋体"/>
          <w:color w:val="auto"/>
          <w:sz w:val="24"/>
          <w:highlight w:val="none"/>
        </w:rPr>
        <w:t>在</w:t>
      </w:r>
      <w:bookmarkStart w:id="36" w:name="_Hlk16458572"/>
      <w:r>
        <w:rPr>
          <w:rFonts w:hint="eastAsia" w:ascii="宋体" w:hAnsi="宋体" w:eastAsia="宋体"/>
          <w:color w:val="auto"/>
          <w:sz w:val="24"/>
          <w:szCs w:val="18"/>
          <w:highlight w:val="none"/>
        </w:rPr>
        <w:t>安徽省</w:t>
      </w:r>
      <w:bookmarkEnd w:id="36"/>
      <w:r>
        <w:rPr>
          <w:rFonts w:hint="eastAsia" w:ascii="宋体" w:hAnsi="宋体" w:eastAsia="宋体"/>
          <w:color w:val="auto"/>
          <w:sz w:val="24"/>
          <w:szCs w:val="18"/>
          <w:highlight w:val="none"/>
          <w:lang w:eastAsia="zh-CN"/>
        </w:rPr>
        <w:t>招标投标信息</w:t>
      </w:r>
      <w:r>
        <w:rPr>
          <w:rFonts w:hint="eastAsia" w:ascii="宋体" w:hAnsi="宋体" w:eastAsia="宋体"/>
          <w:color w:val="auto"/>
          <w:sz w:val="24"/>
          <w:highlight w:val="none"/>
        </w:rPr>
        <w:t>网以发布更正公告的方式澄清或者修改磋商文件，更正公告的</w:t>
      </w:r>
      <w:r>
        <w:rPr>
          <w:rFonts w:ascii="宋体" w:hAnsi="宋体" w:eastAsia="宋体"/>
          <w:color w:val="auto"/>
          <w:sz w:val="24"/>
          <w:highlight w:val="none"/>
        </w:rPr>
        <w:t>内容</w:t>
      </w:r>
      <w:r>
        <w:rPr>
          <w:rFonts w:hint="eastAsia" w:ascii="宋体" w:hAnsi="宋体" w:eastAsia="宋体"/>
          <w:color w:val="auto"/>
          <w:sz w:val="24"/>
          <w:highlight w:val="none"/>
        </w:rPr>
        <w:t>作</w:t>
      </w:r>
      <w:r>
        <w:rPr>
          <w:rFonts w:ascii="宋体" w:hAnsi="宋体" w:eastAsia="宋体"/>
          <w:color w:val="auto"/>
          <w:sz w:val="24"/>
          <w:highlight w:val="none"/>
        </w:rPr>
        <w:t>为</w:t>
      </w:r>
      <w:r>
        <w:rPr>
          <w:rFonts w:hint="eastAsia" w:ascii="宋体" w:hAnsi="宋体" w:eastAsia="宋体"/>
          <w:color w:val="auto"/>
          <w:sz w:val="24"/>
          <w:highlight w:val="none"/>
        </w:rPr>
        <w:t>磋商</w:t>
      </w:r>
      <w:r>
        <w:rPr>
          <w:rFonts w:ascii="宋体" w:hAnsi="宋体" w:eastAsia="宋体"/>
          <w:color w:val="auto"/>
          <w:sz w:val="24"/>
          <w:highlight w:val="none"/>
        </w:rPr>
        <w:t>文件</w:t>
      </w:r>
      <w:r>
        <w:rPr>
          <w:rFonts w:hint="eastAsia" w:ascii="宋体" w:hAnsi="宋体" w:eastAsia="宋体"/>
          <w:color w:val="auto"/>
          <w:sz w:val="24"/>
          <w:highlight w:val="none"/>
        </w:rPr>
        <w:t>的</w:t>
      </w:r>
      <w:r>
        <w:rPr>
          <w:rFonts w:ascii="宋体" w:hAnsi="宋体" w:eastAsia="宋体"/>
          <w:color w:val="auto"/>
          <w:sz w:val="24"/>
          <w:highlight w:val="none"/>
        </w:rPr>
        <w:t>组成部分，对</w:t>
      </w:r>
      <w:r>
        <w:rPr>
          <w:rFonts w:hint="eastAsia" w:ascii="宋体" w:hAnsi="宋体" w:eastAsia="宋体"/>
          <w:color w:val="auto"/>
          <w:sz w:val="24"/>
          <w:highlight w:val="none"/>
        </w:rPr>
        <w:t>供应商</w:t>
      </w:r>
      <w:r>
        <w:rPr>
          <w:rFonts w:ascii="宋体" w:hAnsi="宋体" w:eastAsia="宋体"/>
          <w:color w:val="auto"/>
          <w:sz w:val="24"/>
          <w:highlight w:val="none"/>
        </w:rPr>
        <w:t>起约束作用</w:t>
      </w:r>
      <w:r>
        <w:rPr>
          <w:rFonts w:hint="eastAsia" w:ascii="宋体" w:hAnsi="宋体" w:eastAsia="宋体"/>
          <w:color w:val="auto"/>
          <w:sz w:val="24"/>
          <w:highlight w:val="none"/>
        </w:rPr>
        <w:t>。供应商应主动上网查询。采购代理机构不承担供应商未及时关注相关信息引发的相关责任。</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8</w:t>
      </w:r>
      <w:r>
        <w:rPr>
          <w:rFonts w:hint="eastAsia" w:ascii="宋体" w:hAnsi="宋体" w:eastAsia="宋体"/>
          <w:color w:val="auto"/>
          <w:sz w:val="24"/>
          <w:highlight w:val="none"/>
        </w:rPr>
        <w:t>.3任何人或任何组织向供应商提供的任何书面或口头资料，未经采购代理机构在网上发布或书面通知，均作无效处理，不得作为磋商文件的组成部分。采购代理机构对供应商由此而做出的推论、理解和结论概不负责。</w:t>
      </w:r>
    </w:p>
    <w:p>
      <w:pPr>
        <w:spacing w:line="360" w:lineRule="auto"/>
        <w:ind w:firstLine="435"/>
        <w:rPr>
          <w:rFonts w:ascii="宋体" w:hAnsi="宋体" w:eastAsia="宋体"/>
          <w:iCs/>
          <w:color w:val="auto"/>
          <w:sz w:val="24"/>
          <w:highlight w:val="none"/>
        </w:rPr>
      </w:pPr>
      <w:r>
        <w:rPr>
          <w:rFonts w:hint="eastAsia" w:ascii="宋体" w:hAnsi="宋体" w:eastAsia="宋体"/>
          <w:color w:val="auto"/>
          <w:sz w:val="24"/>
          <w:highlight w:val="none"/>
        </w:rPr>
        <w:t>8</w:t>
      </w:r>
      <w:r>
        <w:rPr>
          <w:rFonts w:ascii="宋体" w:hAnsi="宋体" w:eastAsia="宋体"/>
          <w:color w:val="auto"/>
          <w:sz w:val="24"/>
          <w:highlight w:val="none"/>
        </w:rPr>
        <w:t>.</w:t>
      </w:r>
      <w:r>
        <w:rPr>
          <w:rFonts w:hint="eastAsia" w:ascii="宋体" w:hAnsi="宋体" w:eastAsia="宋体"/>
          <w:color w:val="auto"/>
          <w:sz w:val="24"/>
          <w:highlight w:val="none"/>
        </w:rPr>
        <w:t>4</w:t>
      </w:r>
      <w:r>
        <w:rPr>
          <w:rFonts w:ascii="宋体" w:hAnsi="宋体" w:eastAsia="宋体"/>
          <w:color w:val="auto"/>
          <w:sz w:val="24"/>
          <w:highlight w:val="none"/>
        </w:rPr>
        <w:t>对于没有提出</w:t>
      </w:r>
      <w:r>
        <w:rPr>
          <w:rFonts w:hint="eastAsia" w:ascii="宋体" w:hAnsi="宋体" w:eastAsia="宋体"/>
          <w:color w:val="auto"/>
          <w:sz w:val="24"/>
          <w:highlight w:val="none"/>
        </w:rPr>
        <w:t>询问</w:t>
      </w:r>
      <w:r>
        <w:rPr>
          <w:rFonts w:ascii="宋体" w:hAnsi="宋体" w:eastAsia="宋体"/>
          <w:color w:val="auto"/>
          <w:sz w:val="24"/>
          <w:highlight w:val="none"/>
        </w:rPr>
        <w:t>又参与了</w:t>
      </w:r>
      <w:r>
        <w:rPr>
          <w:rFonts w:hint="eastAsia" w:ascii="宋体" w:hAnsi="宋体" w:eastAsia="宋体"/>
          <w:color w:val="auto"/>
          <w:sz w:val="24"/>
          <w:highlight w:val="none"/>
        </w:rPr>
        <w:t>本</w:t>
      </w:r>
      <w:r>
        <w:rPr>
          <w:rFonts w:ascii="宋体" w:hAnsi="宋体" w:eastAsia="宋体"/>
          <w:color w:val="auto"/>
          <w:sz w:val="24"/>
          <w:highlight w:val="none"/>
        </w:rPr>
        <w:t>项目</w:t>
      </w:r>
      <w:r>
        <w:rPr>
          <w:rFonts w:hint="eastAsia" w:ascii="宋体" w:hAnsi="宋体" w:eastAsia="宋体"/>
          <w:color w:val="auto"/>
          <w:sz w:val="24"/>
          <w:highlight w:val="none"/>
        </w:rPr>
        <w:t>磋商</w:t>
      </w:r>
      <w:r>
        <w:rPr>
          <w:rFonts w:ascii="宋体" w:hAnsi="宋体" w:eastAsia="宋体"/>
          <w:color w:val="auto"/>
          <w:sz w:val="24"/>
          <w:highlight w:val="none"/>
        </w:rPr>
        <w:t>的</w:t>
      </w:r>
      <w:r>
        <w:rPr>
          <w:rFonts w:hint="eastAsia" w:ascii="宋体" w:hAnsi="宋体" w:eastAsia="宋体"/>
          <w:color w:val="auto"/>
          <w:sz w:val="24"/>
          <w:highlight w:val="none"/>
        </w:rPr>
        <w:t>供应商</w:t>
      </w:r>
      <w:r>
        <w:rPr>
          <w:rFonts w:ascii="宋体" w:hAnsi="宋体" w:eastAsia="宋体"/>
          <w:color w:val="auto"/>
          <w:sz w:val="24"/>
          <w:highlight w:val="none"/>
        </w:rPr>
        <w:t>将被视为完全认同</w:t>
      </w:r>
      <w:r>
        <w:rPr>
          <w:rFonts w:hint="eastAsia" w:ascii="宋体" w:hAnsi="宋体" w:eastAsia="宋体"/>
          <w:color w:val="auto"/>
          <w:sz w:val="24"/>
          <w:highlight w:val="none"/>
        </w:rPr>
        <w:t>本磋商</w:t>
      </w:r>
      <w:r>
        <w:rPr>
          <w:rFonts w:ascii="宋体" w:hAnsi="宋体" w:eastAsia="宋体"/>
          <w:color w:val="auto"/>
          <w:sz w:val="24"/>
          <w:highlight w:val="none"/>
        </w:rPr>
        <w:t>文件（含</w:t>
      </w:r>
      <w:r>
        <w:rPr>
          <w:rFonts w:hint="eastAsia" w:ascii="宋体" w:hAnsi="宋体" w:eastAsia="宋体"/>
          <w:color w:val="auto"/>
          <w:sz w:val="24"/>
          <w:highlight w:val="none"/>
        </w:rPr>
        <w:t>更正公告的</w:t>
      </w:r>
      <w:r>
        <w:rPr>
          <w:rFonts w:ascii="宋体" w:hAnsi="宋体" w:eastAsia="宋体"/>
          <w:color w:val="auto"/>
          <w:sz w:val="24"/>
          <w:highlight w:val="none"/>
        </w:rPr>
        <w:t>内容）</w:t>
      </w:r>
      <w:r>
        <w:rPr>
          <w:rFonts w:hint="eastAsia" w:ascii="宋体" w:hAnsi="宋体" w:eastAsia="宋体"/>
          <w:i/>
          <w:color w:val="auto"/>
          <w:sz w:val="24"/>
          <w:highlight w:val="none"/>
        </w:rPr>
        <w:t>。</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9</w:t>
      </w:r>
      <w:r>
        <w:rPr>
          <w:rFonts w:ascii="宋体" w:hAnsi="宋体" w:eastAsia="宋体"/>
          <w:b/>
          <w:color w:val="auto"/>
          <w:sz w:val="24"/>
          <w:highlight w:val="none"/>
        </w:rPr>
        <w:t>.</w:t>
      </w:r>
      <w:r>
        <w:rPr>
          <w:rFonts w:hint="eastAsia" w:ascii="宋体" w:hAnsi="宋体" w:eastAsia="宋体"/>
          <w:b/>
          <w:color w:val="auto"/>
          <w:sz w:val="24"/>
          <w:highlight w:val="none"/>
        </w:rPr>
        <w:t>磋商范围及响应文件中标准和计量单位的使用</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9.1项目有分包的，供应商可</w:t>
      </w:r>
      <w:r>
        <w:rPr>
          <w:rFonts w:hint="eastAsia" w:ascii="宋体" w:hAnsi="宋体" w:eastAsia="宋体"/>
          <w:color w:val="auto"/>
          <w:sz w:val="24"/>
          <w:highlight w:val="none"/>
        </w:rPr>
        <w:t>参与</w:t>
      </w:r>
      <w:r>
        <w:rPr>
          <w:rFonts w:ascii="宋体" w:hAnsi="宋体" w:eastAsia="宋体"/>
          <w:color w:val="auto"/>
          <w:sz w:val="24"/>
          <w:highlight w:val="none"/>
        </w:rPr>
        <w:t>其中某一个或</w:t>
      </w:r>
      <w:r>
        <w:rPr>
          <w:rFonts w:hint="eastAsia" w:ascii="宋体" w:hAnsi="宋体" w:eastAsia="宋体"/>
          <w:color w:val="auto"/>
          <w:sz w:val="24"/>
          <w:highlight w:val="none"/>
        </w:rPr>
        <w:t>多</w:t>
      </w:r>
      <w:r>
        <w:rPr>
          <w:rFonts w:ascii="宋体" w:hAnsi="宋体" w:eastAsia="宋体"/>
          <w:color w:val="auto"/>
          <w:sz w:val="24"/>
          <w:highlight w:val="none"/>
        </w:rPr>
        <w:t>个分包</w:t>
      </w:r>
      <w:r>
        <w:rPr>
          <w:rFonts w:hint="eastAsia" w:ascii="宋体" w:hAnsi="宋体" w:eastAsia="宋体"/>
          <w:color w:val="auto"/>
          <w:sz w:val="24"/>
          <w:highlight w:val="none"/>
        </w:rPr>
        <w:t>的磋商</w:t>
      </w:r>
      <w:r>
        <w:rPr>
          <w:rFonts w:ascii="宋体" w:hAnsi="宋体" w:eastAsia="宋体"/>
          <w:color w:val="auto"/>
          <w:sz w:val="24"/>
          <w:highlight w:val="none"/>
        </w:rPr>
        <w:t>，</w:t>
      </w:r>
      <w:r>
        <w:rPr>
          <w:rFonts w:hint="eastAsia" w:ascii="宋体" w:hAnsi="宋体" w:eastAsia="宋体"/>
          <w:color w:val="auto"/>
          <w:sz w:val="24"/>
          <w:highlight w:val="none"/>
        </w:rPr>
        <w:t>成交包数详见</w:t>
      </w:r>
      <w:r>
        <w:rPr>
          <w:rFonts w:ascii="宋体" w:hAnsi="宋体" w:eastAsia="宋体"/>
          <w:color w:val="auto"/>
          <w:sz w:val="24"/>
          <w:highlight w:val="none"/>
          <w:u w:val="single"/>
        </w:rPr>
        <w:t>供应商须知前附表</w:t>
      </w:r>
      <w:r>
        <w:rPr>
          <w:rFonts w:ascii="宋体" w:hAnsi="宋体" w:eastAsia="宋体"/>
          <w:color w:val="auto"/>
          <w:sz w:val="24"/>
          <w:highlight w:val="none"/>
        </w:rPr>
        <w:t>中规定。</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9.</w:t>
      </w:r>
      <w:r>
        <w:rPr>
          <w:rFonts w:hint="eastAsia" w:ascii="宋体" w:hAnsi="宋体" w:eastAsia="宋体"/>
          <w:color w:val="auto"/>
          <w:sz w:val="24"/>
          <w:highlight w:val="none"/>
        </w:rPr>
        <w:t>2</w:t>
      </w:r>
      <w:r>
        <w:rPr>
          <w:rFonts w:ascii="宋体" w:hAnsi="宋体" w:eastAsia="宋体"/>
          <w:color w:val="auto"/>
          <w:sz w:val="24"/>
          <w:highlight w:val="none"/>
        </w:rPr>
        <w:t>无论磋商文件中是否要求，供应商所投服务及伴随的货物和工程均应符合国家强制性标准。</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9.</w:t>
      </w:r>
      <w:r>
        <w:rPr>
          <w:rFonts w:hint="eastAsia" w:ascii="宋体" w:hAnsi="宋体" w:eastAsia="宋体"/>
          <w:color w:val="auto"/>
          <w:sz w:val="24"/>
          <w:highlight w:val="none"/>
        </w:rPr>
        <w:t>3</w:t>
      </w:r>
      <w:r>
        <w:rPr>
          <w:rFonts w:ascii="宋体" w:hAnsi="宋体" w:eastAsia="宋体"/>
          <w:color w:val="auto"/>
          <w:sz w:val="24"/>
          <w:highlight w:val="none"/>
        </w:rPr>
        <w:t>供应商与采购代理机构之间与磋商有关的所有往来通知、函件和响应文件均用中文表述。供应商随响应文件提供的证明文件和资料可以为其它语言，但必须附中文译文。翻译的中文资料与外文资料如果出现差异时，以中文为准。</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9.</w:t>
      </w:r>
      <w:r>
        <w:rPr>
          <w:rFonts w:hint="eastAsia" w:ascii="宋体" w:hAnsi="宋体" w:eastAsia="宋体"/>
          <w:color w:val="auto"/>
          <w:sz w:val="24"/>
          <w:highlight w:val="none"/>
        </w:rPr>
        <w:t>4</w:t>
      </w:r>
      <w:r>
        <w:rPr>
          <w:rFonts w:ascii="宋体" w:hAnsi="宋体" w:eastAsia="宋体"/>
          <w:color w:val="auto"/>
          <w:sz w:val="24"/>
          <w:highlight w:val="none"/>
        </w:rPr>
        <w:t>除磋商文件中有特殊要求外，响应文件中所使用的计量单位，应采用中华人民共和国法定计量单位。</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0.</w:t>
      </w:r>
      <w:r>
        <w:rPr>
          <w:rFonts w:hint="eastAsia" w:ascii="宋体" w:hAnsi="宋体" w:eastAsia="宋体"/>
          <w:b/>
          <w:color w:val="auto"/>
          <w:sz w:val="24"/>
          <w:highlight w:val="none"/>
        </w:rPr>
        <w:t>响应文件构成</w:t>
      </w:r>
    </w:p>
    <w:p>
      <w:pPr>
        <w:spacing w:line="360" w:lineRule="auto"/>
        <w:ind w:firstLine="437"/>
        <w:rPr>
          <w:rFonts w:ascii="宋体" w:hAnsi="宋体" w:eastAsia="宋体"/>
          <w:color w:val="auto"/>
          <w:sz w:val="24"/>
          <w:highlight w:val="none"/>
        </w:rPr>
      </w:pPr>
      <w:r>
        <w:rPr>
          <w:rFonts w:ascii="宋体" w:hAnsi="宋体" w:eastAsia="宋体"/>
          <w:color w:val="auto"/>
          <w:sz w:val="24"/>
          <w:highlight w:val="none"/>
        </w:rPr>
        <w:t>10.1供应商应完整地按磋商文件提供的响应文件格式及要求编写响应文件，具体内容详见第六章响应文件格式的相关内容。</w:t>
      </w:r>
    </w:p>
    <w:p>
      <w:pPr>
        <w:spacing w:line="360" w:lineRule="auto"/>
        <w:ind w:firstLine="437"/>
        <w:rPr>
          <w:rFonts w:ascii="宋体" w:hAnsi="宋体" w:eastAsia="宋体"/>
          <w:color w:val="auto"/>
          <w:sz w:val="24"/>
          <w:highlight w:val="none"/>
        </w:rPr>
      </w:pPr>
      <w:r>
        <w:rPr>
          <w:rFonts w:ascii="宋体" w:hAnsi="宋体" w:eastAsia="宋体"/>
          <w:color w:val="auto"/>
          <w:sz w:val="24"/>
          <w:highlight w:val="none"/>
        </w:rPr>
        <w:t>10.2上述文件应按照磋商文件规定的格式填写、签署和盖章。</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1.</w:t>
      </w:r>
      <w:r>
        <w:rPr>
          <w:rFonts w:hint="eastAsia" w:ascii="宋体" w:hAnsi="宋体" w:eastAsia="宋体"/>
          <w:b/>
          <w:color w:val="auto"/>
          <w:sz w:val="24"/>
          <w:highlight w:val="none"/>
        </w:rPr>
        <w:t>证明标的的合格性和符合磋商文件规定的响应文件</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w:t>
      </w:r>
      <w:r>
        <w:rPr>
          <w:rFonts w:hint="eastAsia" w:ascii="宋体" w:hAnsi="宋体" w:eastAsia="宋体"/>
          <w:color w:val="auto"/>
          <w:sz w:val="24"/>
          <w:highlight w:val="none"/>
        </w:rPr>
        <w:t>1</w:t>
      </w:r>
      <w:r>
        <w:rPr>
          <w:rFonts w:ascii="宋体" w:hAnsi="宋体" w:eastAsia="宋体"/>
          <w:color w:val="auto"/>
          <w:sz w:val="24"/>
          <w:highlight w:val="none"/>
        </w:rPr>
        <w:t>.1</w:t>
      </w:r>
      <w:r>
        <w:rPr>
          <w:rFonts w:hint="eastAsia" w:ascii="宋体" w:hAnsi="宋体" w:eastAsia="宋体"/>
          <w:color w:val="auto"/>
          <w:sz w:val="24"/>
          <w:highlight w:val="none"/>
        </w:rPr>
        <w:t>供应商应提交磋商文件要求的证明文件，证明其响应内容符合磋商文件规定。该证明文件是响应文件的一部分</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w:t>
      </w:r>
      <w:r>
        <w:rPr>
          <w:rFonts w:hint="eastAsia" w:ascii="宋体" w:hAnsi="宋体" w:eastAsia="宋体"/>
          <w:color w:val="auto"/>
          <w:sz w:val="24"/>
          <w:highlight w:val="none"/>
        </w:rPr>
        <w:t>1</w:t>
      </w:r>
      <w:r>
        <w:rPr>
          <w:rFonts w:ascii="宋体" w:hAnsi="宋体" w:eastAsia="宋体"/>
          <w:color w:val="auto"/>
          <w:sz w:val="24"/>
          <w:highlight w:val="none"/>
        </w:rPr>
        <w:t>.2上款所述的证明文件，可以是文字资料、图纸和数据</w:t>
      </w:r>
      <w:bookmarkStart w:id="37" w:name="_Hlk11703583"/>
      <w:r>
        <w:rPr>
          <w:rFonts w:hint="eastAsia" w:ascii="宋体" w:hAnsi="宋体" w:eastAsia="宋体"/>
          <w:color w:val="auto"/>
          <w:sz w:val="24"/>
          <w:highlight w:val="none"/>
        </w:rPr>
        <w:t>。</w:t>
      </w:r>
    </w:p>
    <w:bookmarkEnd w:id="37"/>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w:t>
      </w:r>
      <w:r>
        <w:rPr>
          <w:rFonts w:ascii="宋体" w:hAnsi="宋体" w:eastAsia="宋体"/>
          <w:color w:val="auto"/>
          <w:sz w:val="24"/>
          <w:highlight w:val="none"/>
        </w:rPr>
        <w:t>1.3</w:t>
      </w:r>
      <w:r>
        <w:rPr>
          <w:rFonts w:hint="eastAsia" w:ascii="宋体" w:hAnsi="宋体" w:eastAsia="宋体"/>
          <w:color w:val="auto"/>
          <w:sz w:val="24"/>
          <w:highlight w:val="none"/>
        </w:rPr>
        <w:t>本条所指证明文件不包括对磋商文件相关部分的文字、图标的复制。</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w:t>
      </w:r>
      <w:r>
        <w:rPr>
          <w:rFonts w:hint="eastAsia" w:ascii="宋体" w:hAnsi="宋体" w:eastAsia="宋体"/>
          <w:color w:val="auto"/>
          <w:sz w:val="24"/>
          <w:highlight w:val="none"/>
        </w:rPr>
        <w:t>1</w:t>
      </w:r>
      <w:r>
        <w:rPr>
          <w:rFonts w:ascii="宋体" w:hAnsi="宋体" w:eastAsia="宋体"/>
          <w:color w:val="auto"/>
          <w:sz w:val="24"/>
          <w:highlight w:val="none"/>
        </w:rPr>
        <w:t>.</w:t>
      </w:r>
      <w:r>
        <w:rPr>
          <w:rFonts w:hint="eastAsia" w:ascii="宋体" w:hAnsi="宋体" w:eastAsia="宋体"/>
          <w:color w:val="auto"/>
          <w:sz w:val="24"/>
          <w:highlight w:val="none"/>
        </w:rPr>
        <w:t>4</w:t>
      </w:r>
      <w:r>
        <w:rPr>
          <w:rFonts w:ascii="宋体" w:hAnsi="宋体" w:eastAsia="宋体"/>
          <w:color w:val="auto"/>
          <w:sz w:val="24"/>
          <w:highlight w:val="none"/>
        </w:rPr>
        <w:t>为保证公平公正，除非另有规定或说明，</w:t>
      </w:r>
      <w:r>
        <w:rPr>
          <w:rFonts w:hint="eastAsia" w:ascii="宋体" w:hAnsi="宋体" w:eastAsia="宋体"/>
          <w:color w:val="auto"/>
          <w:sz w:val="24"/>
          <w:highlight w:val="none"/>
        </w:rPr>
        <w:t>供应商</w:t>
      </w:r>
      <w:r>
        <w:rPr>
          <w:rFonts w:ascii="宋体" w:hAnsi="宋体" w:eastAsia="宋体"/>
          <w:color w:val="auto"/>
          <w:sz w:val="24"/>
          <w:highlight w:val="none"/>
        </w:rPr>
        <w:t>对同一项目</w:t>
      </w:r>
      <w:r>
        <w:rPr>
          <w:rFonts w:hint="eastAsia" w:ascii="宋体" w:hAnsi="宋体" w:eastAsia="宋体"/>
          <w:color w:val="auto"/>
          <w:sz w:val="24"/>
          <w:highlight w:val="none"/>
        </w:rPr>
        <w:t>磋商</w:t>
      </w:r>
      <w:r>
        <w:rPr>
          <w:rFonts w:ascii="宋体" w:hAnsi="宋体" w:eastAsia="宋体"/>
          <w:color w:val="auto"/>
          <w:sz w:val="24"/>
          <w:highlight w:val="none"/>
        </w:rPr>
        <w:t>时，不得同时提供</w:t>
      </w:r>
      <w:r>
        <w:rPr>
          <w:rFonts w:hint="eastAsia" w:ascii="宋体" w:hAnsi="宋体" w:eastAsia="宋体"/>
          <w:color w:val="auto"/>
          <w:sz w:val="24"/>
          <w:highlight w:val="none"/>
        </w:rPr>
        <w:t>备选磋商</w:t>
      </w:r>
      <w:r>
        <w:rPr>
          <w:rFonts w:ascii="宋体" w:hAnsi="宋体" w:eastAsia="宋体"/>
          <w:color w:val="auto"/>
          <w:sz w:val="24"/>
          <w:highlight w:val="none"/>
        </w:rPr>
        <w:t>方案。</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2.</w:t>
      </w:r>
      <w:r>
        <w:rPr>
          <w:rFonts w:hint="eastAsia" w:ascii="宋体" w:hAnsi="宋体" w:eastAsia="宋体"/>
          <w:b/>
          <w:color w:val="auto"/>
          <w:sz w:val="24"/>
          <w:highlight w:val="none"/>
        </w:rPr>
        <w:t>报价</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w:t>
      </w:r>
      <w:r>
        <w:rPr>
          <w:rFonts w:hint="eastAsia" w:ascii="宋体" w:hAnsi="宋体" w:eastAsia="宋体"/>
          <w:color w:val="auto"/>
          <w:sz w:val="24"/>
          <w:highlight w:val="none"/>
        </w:rPr>
        <w:t>2</w:t>
      </w:r>
      <w:r>
        <w:rPr>
          <w:rFonts w:ascii="宋体" w:hAnsi="宋体" w:eastAsia="宋体"/>
          <w:color w:val="auto"/>
          <w:sz w:val="24"/>
          <w:highlight w:val="none"/>
        </w:rPr>
        <w:t>.1</w:t>
      </w:r>
      <w:r>
        <w:rPr>
          <w:rFonts w:hint="eastAsia" w:ascii="宋体" w:hAnsi="宋体" w:eastAsia="宋体"/>
          <w:color w:val="auto"/>
          <w:sz w:val="24"/>
          <w:highlight w:val="none"/>
        </w:rPr>
        <w:t>供应商</w:t>
      </w:r>
      <w:r>
        <w:rPr>
          <w:rFonts w:ascii="宋体" w:hAnsi="宋体" w:eastAsia="宋体"/>
          <w:color w:val="auto"/>
          <w:sz w:val="24"/>
          <w:highlight w:val="none"/>
        </w:rPr>
        <w:t>的报价应当包括满足本次</w:t>
      </w:r>
      <w:r>
        <w:rPr>
          <w:rFonts w:hint="eastAsia" w:ascii="宋体" w:hAnsi="宋体" w:eastAsia="宋体"/>
          <w:color w:val="auto"/>
          <w:sz w:val="24"/>
          <w:highlight w:val="none"/>
        </w:rPr>
        <w:t>磋商</w:t>
      </w:r>
      <w:r>
        <w:rPr>
          <w:rFonts w:ascii="宋体" w:hAnsi="宋体" w:eastAsia="宋体"/>
          <w:color w:val="auto"/>
          <w:sz w:val="24"/>
          <w:highlight w:val="none"/>
        </w:rPr>
        <w:t>全部采购需求所应提供的服务</w:t>
      </w:r>
      <w:r>
        <w:rPr>
          <w:rFonts w:hint="eastAsia" w:ascii="宋体" w:hAnsi="宋体" w:eastAsia="宋体"/>
          <w:color w:val="auto"/>
          <w:sz w:val="24"/>
          <w:highlight w:val="none"/>
        </w:rPr>
        <w:t>，</w:t>
      </w:r>
      <w:r>
        <w:rPr>
          <w:rFonts w:ascii="宋体" w:hAnsi="宋体" w:eastAsia="宋体"/>
          <w:color w:val="auto"/>
          <w:sz w:val="24"/>
          <w:highlight w:val="none"/>
        </w:rPr>
        <w:t>以及伴随的货物和工程</w:t>
      </w:r>
      <w:r>
        <w:rPr>
          <w:rFonts w:hint="eastAsia" w:ascii="宋体" w:hAnsi="宋体" w:eastAsia="宋体"/>
          <w:color w:val="auto"/>
          <w:sz w:val="24"/>
          <w:highlight w:val="none"/>
        </w:rPr>
        <w:t>。所有内容均应以人民币报价，供应商的磋商报价应遵守《中华人民共和国价格法》。</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12.</w:t>
      </w:r>
      <w:r>
        <w:rPr>
          <w:rFonts w:hint="eastAsia" w:ascii="宋体" w:hAnsi="宋体" w:eastAsia="宋体"/>
          <w:color w:val="auto"/>
          <w:sz w:val="24"/>
          <w:highlight w:val="none"/>
        </w:rPr>
        <w:t>2供应商应在分项报价表上标明分项服务、伴随的货物和工程的价格（如适用）和总价，未标明的视同包含在磋商报价中。</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12.</w:t>
      </w:r>
      <w:r>
        <w:rPr>
          <w:rFonts w:hint="eastAsia" w:ascii="宋体" w:hAnsi="宋体" w:eastAsia="宋体"/>
          <w:color w:val="auto"/>
          <w:sz w:val="24"/>
          <w:highlight w:val="none"/>
        </w:rPr>
        <w:t>3</w:t>
      </w:r>
      <w:r>
        <w:rPr>
          <w:rFonts w:ascii="宋体" w:hAnsi="宋体" w:eastAsia="宋体"/>
          <w:color w:val="auto"/>
          <w:sz w:val="24"/>
          <w:highlight w:val="none"/>
        </w:rPr>
        <w:t>除非磋商文件另有规定或经采购人同意支付的，最后报价均不得高于磋商文件（公告）列明的项目预算，否则其响应文件将被认定为</w:t>
      </w:r>
      <w:r>
        <w:rPr>
          <w:rFonts w:ascii="宋体" w:hAnsi="宋体" w:eastAsia="宋体"/>
          <w:b/>
          <w:color w:val="auto"/>
          <w:sz w:val="24"/>
          <w:highlight w:val="none"/>
        </w:rPr>
        <w:t>响应无效</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12.</w:t>
      </w:r>
      <w:r>
        <w:rPr>
          <w:rFonts w:hint="eastAsia" w:ascii="宋体" w:hAnsi="宋体" w:eastAsia="宋体"/>
          <w:color w:val="auto"/>
          <w:sz w:val="24"/>
          <w:highlight w:val="none"/>
        </w:rPr>
        <w:t>4报价</w:t>
      </w:r>
      <w:r>
        <w:rPr>
          <w:rFonts w:ascii="宋体" w:hAnsi="宋体" w:eastAsia="宋体"/>
          <w:color w:val="auto"/>
          <w:sz w:val="24"/>
          <w:highlight w:val="none"/>
        </w:rPr>
        <w:t>在合同履行过程中是固定不变的，不得以任何理由予以变更。任何包含价格调整要求的</w:t>
      </w:r>
      <w:r>
        <w:rPr>
          <w:rFonts w:hint="eastAsia" w:ascii="宋体" w:hAnsi="宋体" w:eastAsia="宋体"/>
          <w:color w:val="auto"/>
          <w:sz w:val="24"/>
          <w:highlight w:val="none"/>
        </w:rPr>
        <w:t>磋商</w:t>
      </w:r>
      <w:r>
        <w:rPr>
          <w:rFonts w:ascii="宋体" w:hAnsi="宋体" w:eastAsia="宋体"/>
          <w:color w:val="auto"/>
          <w:sz w:val="24"/>
          <w:highlight w:val="none"/>
        </w:rPr>
        <w:t>，其</w:t>
      </w:r>
      <w:r>
        <w:rPr>
          <w:rFonts w:hint="eastAsia" w:ascii="宋体" w:hAnsi="宋体" w:eastAsia="宋体"/>
          <w:color w:val="auto"/>
          <w:sz w:val="24"/>
          <w:highlight w:val="none"/>
        </w:rPr>
        <w:t>响应文件将被认定为</w:t>
      </w:r>
      <w:r>
        <w:rPr>
          <w:rFonts w:hint="eastAsia" w:ascii="宋体" w:hAnsi="宋体" w:eastAsia="宋体"/>
          <w:b/>
          <w:color w:val="auto"/>
          <w:sz w:val="24"/>
          <w:highlight w:val="none"/>
        </w:rPr>
        <w:t>响应无效</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w:t>
      </w:r>
      <w:r>
        <w:rPr>
          <w:rFonts w:hint="eastAsia" w:ascii="宋体" w:hAnsi="宋体" w:eastAsia="宋体"/>
          <w:color w:val="auto"/>
          <w:sz w:val="24"/>
          <w:highlight w:val="none"/>
        </w:rPr>
        <w:t>2</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采购人不接受具有附加条件的报价。</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3.</w:t>
      </w:r>
      <w:r>
        <w:rPr>
          <w:rFonts w:hint="eastAsia" w:ascii="宋体" w:hAnsi="宋体" w:eastAsia="宋体"/>
          <w:b/>
          <w:color w:val="auto"/>
          <w:sz w:val="24"/>
          <w:highlight w:val="none"/>
        </w:rPr>
        <w:t>磋商保证金</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w:t>
      </w:r>
      <w:r>
        <w:rPr>
          <w:rFonts w:hint="eastAsia" w:ascii="宋体" w:hAnsi="宋体" w:eastAsia="宋体"/>
          <w:color w:val="auto"/>
          <w:sz w:val="24"/>
          <w:highlight w:val="none"/>
        </w:rPr>
        <w:t>3</w:t>
      </w:r>
      <w:r>
        <w:rPr>
          <w:rFonts w:ascii="宋体" w:hAnsi="宋体" w:eastAsia="宋体"/>
          <w:color w:val="auto"/>
          <w:sz w:val="24"/>
          <w:highlight w:val="none"/>
        </w:rPr>
        <w:t>.1</w:t>
      </w:r>
      <w:r>
        <w:rPr>
          <w:rFonts w:hint="eastAsia" w:ascii="宋体" w:hAnsi="宋体" w:eastAsia="宋体"/>
          <w:color w:val="auto"/>
          <w:sz w:val="24"/>
          <w:highlight w:val="none"/>
        </w:rPr>
        <w:t>供应商应提交</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中规定的磋商保证金，并作为其响应文件的一部分。供应商未按规定提交磋商保证金的，其响应文件将被认定为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w:t>
      </w:r>
      <w:r>
        <w:rPr>
          <w:rFonts w:ascii="宋体" w:hAnsi="宋体" w:eastAsia="宋体"/>
          <w:color w:val="auto"/>
          <w:sz w:val="24"/>
          <w:highlight w:val="none"/>
        </w:rPr>
        <w:t>3.2磋商保证金缴纳人名称与供应商名称应当一致。除非磋商文件另有规定，分公司或子公司代缴磋商保证金，视同名称不一致。磋商保证金缴纳人名称与供应商名称不一致的，</w:t>
      </w:r>
      <w:r>
        <w:rPr>
          <w:rFonts w:hint="eastAsia" w:ascii="宋体" w:hAnsi="宋体" w:eastAsia="宋体"/>
          <w:color w:val="auto"/>
          <w:sz w:val="24"/>
          <w:highlight w:val="none"/>
        </w:rPr>
        <w:t>其响应文件将被认定为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13.</w:t>
      </w:r>
      <w:r>
        <w:rPr>
          <w:rFonts w:hint="eastAsia" w:ascii="宋体" w:hAnsi="宋体" w:eastAsia="宋体"/>
          <w:color w:val="auto"/>
          <w:sz w:val="24"/>
          <w:highlight w:val="none"/>
        </w:rPr>
        <w:t>3</w:t>
      </w:r>
      <w:r>
        <w:rPr>
          <w:rFonts w:ascii="宋体" w:hAnsi="宋体" w:eastAsia="宋体"/>
          <w:color w:val="auto"/>
          <w:sz w:val="24"/>
          <w:highlight w:val="none"/>
        </w:rPr>
        <w:t>联合体参加磋商的，可以由联合体中的一方或者共同提交磋商保证金。以一方名义提交磋商保证金的，对联合体各方均具有约束力。</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13.</w:t>
      </w:r>
      <w:r>
        <w:rPr>
          <w:rFonts w:hint="eastAsia" w:ascii="宋体" w:hAnsi="宋体" w:eastAsia="宋体"/>
          <w:color w:val="auto"/>
          <w:sz w:val="24"/>
          <w:highlight w:val="none"/>
        </w:rPr>
        <w:t>4</w:t>
      </w:r>
      <w:r>
        <w:rPr>
          <w:rFonts w:ascii="宋体" w:hAnsi="宋体" w:eastAsia="宋体"/>
          <w:color w:val="auto"/>
          <w:sz w:val="24"/>
          <w:highlight w:val="none"/>
        </w:rPr>
        <w:t>采购代理机构将在成交通知书发出后五个工作日内退还未成交供应商的磋商保证金，在采购合同签订后五个工作日内退还成交供应商的磋商保证金；</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13.</w:t>
      </w:r>
      <w:r>
        <w:rPr>
          <w:rFonts w:hint="eastAsia" w:ascii="宋体" w:hAnsi="宋体" w:eastAsia="宋体"/>
          <w:color w:val="auto"/>
          <w:sz w:val="24"/>
          <w:highlight w:val="none"/>
        </w:rPr>
        <w:t>5</w:t>
      </w:r>
      <w:r>
        <w:rPr>
          <w:rFonts w:ascii="宋体" w:hAnsi="宋体" w:eastAsia="宋体"/>
          <w:color w:val="auto"/>
          <w:sz w:val="24"/>
          <w:highlight w:val="none"/>
        </w:rPr>
        <w:t>因供应商自身原因导致无法及时退还的，采购人或采购代理机构将不承担相应责任。</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13.</w:t>
      </w:r>
      <w:r>
        <w:rPr>
          <w:rFonts w:hint="eastAsia" w:ascii="宋体" w:hAnsi="宋体" w:eastAsia="宋体"/>
          <w:color w:val="auto"/>
          <w:sz w:val="24"/>
          <w:highlight w:val="none"/>
        </w:rPr>
        <w:t>6有下列情形之一的，</w:t>
      </w:r>
      <w:r>
        <w:rPr>
          <w:rFonts w:ascii="宋体" w:hAnsi="宋体" w:eastAsia="宋体"/>
          <w:color w:val="auto"/>
          <w:sz w:val="24"/>
          <w:highlight w:val="none"/>
        </w:rPr>
        <w:t>磋商保证金不予退还：</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w:t>
      </w:r>
      <w:r>
        <w:rPr>
          <w:rFonts w:ascii="宋体" w:hAnsi="宋体" w:eastAsia="宋体"/>
          <w:color w:val="auto"/>
          <w:sz w:val="24"/>
          <w:highlight w:val="none"/>
        </w:rPr>
        <w:t>1）供应商在提交响应文件截止时间后撤回响应文件的；</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w:t>
      </w:r>
      <w:r>
        <w:rPr>
          <w:rFonts w:ascii="宋体" w:hAnsi="宋体" w:eastAsia="宋体"/>
          <w:color w:val="auto"/>
          <w:sz w:val="24"/>
          <w:highlight w:val="none"/>
        </w:rPr>
        <w:t>2）供应商在响应文件中提供虚假材料的；</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w:t>
      </w:r>
      <w:r>
        <w:rPr>
          <w:rFonts w:ascii="宋体" w:hAnsi="宋体" w:eastAsia="宋体"/>
          <w:color w:val="auto"/>
          <w:sz w:val="24"/>
          <w:highlight w:val="none"/>
        </w:rPr>
        <w:t>3）除因不可抗力或磋商文件认可的情形以外，成交供应商不与采购人签订合同的；</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w:t>
      </w:r>
      <w:r>
        <w:rPr>
          <w:rFonts w:ascii="宋体" w:hAnsi="宋体" w:eastAsia="宋体"/>
          <w:color w:val="auto"/>
          <w:sz w:val="24"/>
          <w:highlight w:val="none"/>
        </w:rPr>
        <w:t>4）供应商与采购人、其他供应商或者采购代理机构恶意串通的；</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（5</w:t>
      </w:r>
      <w:r>
        <w:rPr>
          <w:rFonts w:ascii="宋体" w:hAnsi="宋体" w:eastAsia="宋体"/>
          <w:color w:val="auto"/>
          <w:sz w:val="24"/>
          <w:highlight w:val="none"/>
        </w:rPr>
        <w:t>）</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中规定的其他不予退还磋商保证金的情形。</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4.</w:t>
      </w:r>
      <w:r>
        <w:rPr>
          <w:rFonts w:hint="eastAsia" w:ascii="宋体" w:hAnsi="宋体" w:eastAsia="宋体"/>
          <w:b/>
          <w:color w:val="auto"/>
          <w:sz w:val="24"/>
          <w:highlight w:val="none"/>
        </w:rPr>
        <w:t>磋商有效期</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14.1磋商有效期为从响应文件提交截止之日算起的日历天数，磋商有效期详见</w:t>
      </w:r>
      <w:r>
        <w:rPr>
          <w:rFonts w:ascii="宋体" w:hAnsi="宋体" w:eastAsia="宋体"/>
          <w:color w:val="auto"/>
          <w:sz w:val="24"/>
          <w:highlight w:val="none"/>
          <w:u w:val="single"/>
        </w:rPr>
        <w:t>供应商须知前附表</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14.2在磋商有效期内，供应商的磋商保持有效，供应商不得要求撤销或修改其响应文件。磋商有效期不满足要求的响应，其响应文件将被认定为</w:t>
      </w:r>
      <w:r>
        <w:rPr>
          <w:rFonts w:ascii="宋体" w:hAnsi="宋体" w:eastAsia="宋体"/>
          <w:b/>
          <w:color w:val="auto"/>
          <w:sz w:val="24"/>
          <w:highlight w:val="none"/>
        </w:rPr>
        <w:t>响应无效</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14.3为保证有充分时间签订合同，采购人或采购代理机构可根据实际情况，在原磋商有效期截止之前，要求供应商延长磋商有效期。接受该要求的供应商将不会被要求和允许修正其响应文件。供应商可以拒绝延长磋商有效期的要求，且不承担任何责任。上述要求和答复都应以书面形式提交。</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5.</w:t>
      </w:r>
      <w:r>
        <w:rPr>
          <w:rFonts w:hint="eastAsia" w:ascii="宋体" w:hAnsi="宋体" w:eastAsia="宋体"/>
          <w:b/>
          <w:color w:val="auto"/>
          <w:sz w:val="24"/>
          <w:highlight w:val="none"/>
        </w:rPr>
        <w:t>响应文件的构成</w:t>
      </w:r>
    </w:p>
    <w:p>
      <w:pPr>
        <w:spacing w:line="360" w:lineRule="auto"/>
        <w:ind w:firstLine="435"/>
        <w:rPr>
          <w:rFonts w:hint="eastAsia" w:ascii="宋体" w:hAnsi="宋体" w:eastAsia="宋体"/>
          <w:color w:val="auto"/>
          <w:sz w:val="24"/>
          <w:highlight w:val="none"/>
        </w:rPr>
      </w:pPr>
      <w:r>
        <w:rPr>
          <w:rFonts w:hint="eastAsia" w:ascii="宋体" w:hAnsi="宋体" w:eastAsia="宋体"/>
          <w:color w:val="auto"/>
          <w:sz w:val="24"/>
          <w:highlight w:val="none"/>
        </w:rPr>
        <w:t>1</w:t>
      </w:r>
      <w:r>
        <w:rPr>
          <w:rFonts w:hint="eastAsia" w:ascii="宋体" w:hAnsi="宋体" w:eastAsia="宋体"/>
          <w:color w:val="auto"/>
          <w:sz w:val="24"/>
          <w:highlight w:val="none"/>
          <w:lang w:val="en-US" w:eastAsia="zh-CN"/>
        </w:rPr>
        <w:t>5</w:t>
      </w:r>
      <w:r>
        <w:rPr>
          <w:rFonts w:hint="eastAsia" w:ascii="宋体" w:hAnsi="宋体" w:eastAsia="宋体"/>
          <w:color w:val="auto"/>
          <w:sz w:val="24"/>
          <w:highlight w:val="none"/>
        </w:rPr>
        <w:t>.1 供应商应完整地按磋商文件提供的响应文件格式及要求编写响应文件，具体内容详见本项目第六章响应文件格式的相关内容。</w:t>
      </w:r>
    </w:p>
    <w:p>
      <w:pPr>
        <w:spacing w:line="360" w:lineRule="auto"/>
        <w:ind w:firstLine="435"/>
        <w:rPr>
          <w:rFonts w:hint="eastAsia" w:ascii="宋体" w:hAnsi="宋体" w:eastAsia="宋体"/>
          <w:color w:val="auto"/>
          <w:sz w:val="24"/>
          <w:highlight w:val="none"/>
        </w:rPr>
      </w:pPr>
      <w:r>
        <w:rPr>
          <w:rFonts w:hint="eastAsia" w:ascii="宋体" w:hAnsi="宋体" w:eastAsia="宋体"/>
          <w:color w:val="auto"/>
          <w:sz w:val="24"/>
          <w:highlight w:val="none"/>
        </w:rPr>
        <w:t>1</w:t>
      </w:r>
      <w:r>
        <w:rPr>
          <w:rFonts w:hint="eastAsia" w:ascii="宋体" w:hAnsi="宋体" w:eastAsia="宋体"/>
          <w:color w:val="auto"/>
          <w:sz w:val="24"/>
          <w:highlight w:val="none"/>
          <w:lang w:val="en-US" w:eastAsia="zh-CN"/>
        </w:rPr>
        <w:t>5</w:t>
      </w:r>
      <w:r>
        <w:rPr>
          <w:rFonts w:hint="eastAsia" w:ascii="宋体" w:hAnsi="宋体" w:eastAsia="宋体"/>
          <w:color w:val="auto"/>
          <w:sz w:val="24"/>
          <w:highlight w:val="none"/>
        </w:rPr>
        <w:t>.2 上述文件应按照磋商文件规定的格式填写、签署和盖章。</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w:t>
      </w:r>
      <w:r>
        <w:rPr>
          <w:rFonts w:ascii="宋体" w:hAnsi="宋体" w:eastAsia="宋体"/>
          <w:color w:val="auto"/>
          <w:sz w:val="24"/>
          <w:highlight w:val="none"/>
        </w:rPr>
        <w:t>5.3</w:t>
      </w:r>
      <w:r>
        <w:rPr>
          <w:rFonts w:hint="eastAsia" w:ascii="宋体" w:hAnsi="宋体" w:eastAsia="宋体"/>
          <w:color w:val="auto"/>
          <w:sz w:val="24"/>
          <w:highlight w:val="none"/>
        </w:rPr>
        <w:t>磋商现场提交的其他材料要求详见</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6.</w:t>
      </w:r>
      <w:r>
        <w:rPr>
          <w:rFonts w:hint="eastAsia" w:ascii="宋体" w:hAnsi="宋体" w:eastAsia="宋体"/>
          <w:b/>
          <w:color w:val="auto"/>
          <w:sz w:val="24"/>
          <w:highlight w:val="none"/>
        </w:rPr>
        <w:t>响应文件提交截止时间</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16.1供应商应在</w:t>
      </w:r>
      <w:r>
        <w:rPr>
          <w:rFonts w:ascii="宋体" w:hAnsi="宋体" w:eastAsia="宋体"/>
          <w:color w:val="auto"/>
          <w:sz w:val="24"/>
          <w:highlight w:val="none"/>
          <w:u w:val="single"/>
        </w:rPr>
        <w:t>供应商须知前附表</w:t>
      </w:r>
      <w:r>
        <w:rPr>
          <w:rFonts w:ascii="宋体" w:hAnsi="宋体" w:eastAsia="宋体"/>
          <w:color w:val="auto"/>
          <w:sz w:val="24"/>
          <w:highlight w:val="none"/>
        </w:rPr>
        <w:t>中规定的</w:t>
      </w:r>
      <w:r>
        <w:rPr>
          <w:rFonts w:hint="eastAsia" w:ascii="宋体" w:hAnsi="宋体" w:eastAsia="宋体"/>
          <w:color w:val="auto"/>
          <w:sz w:val="24"/>
          <w:highlight w:val="none"/>
        </w:rPr>
        <w:t>响应文件提交</w:t>
      </w:r>
      <w:r>
        <w:rPr>
          <w:rFonts w:ascii="宋体" w:hAnsi="宋体" w:eastAsia="宋体"/>
          <w:color w:val="auto"/>
          <w:sz w:val="24"/>
          <w:highlight w:val="none"/>
        </w:rPr>
        <w:t>截止时间前，提交响应文件。</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16.2</w:t>
      </w:r>
      <w:r>
        <w:rPr>
          <w:rFonts w:hint="eastAsia" w:ascii="宋体" w:hAnsi="宋体" w:eastAsia="宋体"/>
          <w:color w:val="auto"/>
          <w:sz w:val="24"/>
          <w:highlight w:val="none"/>
        </w:rPr>
        <w:t>供应商</w:t>
      </w:r>
      <w:r>
        <w:rPr>
          <w:rFonts w:ascii="宋体" w:hAnsi="宋体" w:eastAsia="宋体"/>
          <w:color w:val="auto"/>
          <w:sz w:val="24"/>
          <w:highlight w:val="none"/>
        </w:rPr>
        <w:t>在</w:t>
      </w:r>
      <w:r>
        <w:rPr>
          <w:rFonts w:hint="eastAsia" w:ascii="宋体" w:hAnsi="宋体" w:eastAsia="宋体"/>
          <w:color w:val="auto"/>
          <w:sz w:val="24"/>
          <w:highlight w:val="none"/>
        </w:rPr>
        <w:t>磋商</w:t>
      </w:r>
      <w:r>
        <w:rPr>
          <w:rFonts w:ascii="宋体" w:hAnsi="宋体" w:eastAsia="宋体"/>
          <w:color w:val="auto"/>
          <w:sz w:val="24"/>
          <w:highlight w:val="none"/>
        </w:rPr>
        <w:t>文件规定的</w:t>
      </w:r>
      <w:r>
        <w:rPr>
          <w:rFonts w:hint="eastAsia" w:ascii="宋体" w:hAnsi="宋体" w:eastAsia="宋体"/>
          <w:color w:val="auto"/>
          <w:sz w:val="24"/>
          <w:highlight w:val="none"/>
        </w:rPr>
        <w:t>响应文件提交截止时间</w:t>
      </w:r>
      <w:r>
        <w:rPr>
          <w:rFonts w:ascii="宋体" w:hAnsi="宋体" w:eastAsia="宋体"/>
          <w:color w:val="auto"/>
          <w:sz w:val="24"/>
          <w:highlight w:val="none"/>
        </w:rPr>
        <w:t>前</w:t>
      </w:r>
      <w:r>
        <w:rPr>
          <w:rFonts w:hint="eastAsia" w:ascii="宋体" w:hAnsi="宋体" w:eastAsia="宋体"/>
          <w:color w:val="auto"/>
          <w:sz w:val="24"/>
          <w:highlight w:val="none"/>
          <w:lang w:eastAsia="zh-CN"/>
        </w:rPr>
        <w:t>提交</w:t>
      </w:r>
      <w:r>
        <w:rPr>
          <w:rFonts w:hint="eastAsia" w:ascii="宋体" w:hAnsi="宋体" w:eastAsia="宋体"/>
          <w:color w:val="auto"/>
          <w:sz w:val="24"/>
          <w:highlight w:val="none"/>
        </w:rPr>
        <w:t>响应</w:t>
      </w:r>
      <w:r>
        <w:rPr>
          <w:rFonts w:ascii="宋体" w:hAnsi="宋体" w:eastAsia="宋体"/>
          <w:color w:val="auto"/>
          <w:sz w:val="24"/>
          <w:highlight w:val="none"/>
        </w:rPr>
        <w:t>文件，</w:t>
      </w:r>
      <w:r>
        <w:rPr>
          <w:rFonts w:hint="eastAsia" w:ascii="宋体" w:hAnsi="宋体" w:eastAsia="宋体"/>
          <w:color w:val="auto"/>
          <w:sz w:val="24"/>
          <w:highlight w:val="none"/>
          <w:lang w:eastAsia="zh-CN"/>
        </w:rPr>
        <w:t>否则</w:t>
      </w:r>
      <w:r>
        <w:rPr>
          <w:rFonts w:hint="eastAsia" w:ascii="宋体" w:hAnsi="宋体" w:eastAsia="宋体"/>
          <w:b/>
          <w:color w:val="auto"/>
          <w:sz w:val="24"/>
          <w:highlight w:val="none"/>
        </w:rPr>
        <w:t>响应无效</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16.</w:t>
      </w:r>
      <w:r>
        <w:rPr>
          <w:rFonts w:hint="eastAsia" w:ascii="宋体" w:hAnsi="宋体" w:eastAsia="宋体"/>
          <w:color w:val="auto"/>
          <w:sz w:val="24"/>
          <w:highlight w:val="none"/>
        </w:rPr>
        <w:t>3</w:t>
      </w:r>
      <w:r>
        <w:rPr>
          <w:rFonts w:ascii="宋体" w:hAnsi="宋体" w:eastAsia="宋体"/>
          <w:color w:val="auto"/>
          <w:sz w:val="24"/>
          <w:highlight w:val="none"/>
        </w:rPr>
        <w:t>采购人和采购代理机构延迟</w:t>
      </w:r>
      <w:r>
        <w:rPr>
          <w:rFonts w:hint="eastAsia" w:ascii="宋体" w:hAnsi="宋体" w:eastAsia="宋体"/>
          <w:color w:val="auto"/>
          <w:sz w:val="24"/>
          <w:highlight w:val="none"/>
        </w:rPr>
        <w:t>响应文件提交截止时间的</w:t>
      </w:r>
      <w:r>
        <w:rPr>
          <w:rFonts w:ascii="宋体" w:hAnsi="宋体" w:eastAsia="宋体"/>
          <w:color w:val="auto"/>
          <w:sz w:val="24"/>
          <w:highlight w:val="none"/>
        </w:rPr>
        <w:t>。采购人、采购代理机构和供应商受</w:t>
      </w:r>
      <w:r>
        <w:rPr>
          <w:rFonts w:hint="eastAsia" w:ascii="宋体" w:hAnsi="宋体" w:eastAsia="宋体"/>
          <w:color w:val="auto"/>
          <w:sz w:val="24"/>
          <w:highlight w:val="none"/>
        </w:rPr>
        <w:t>响应文件提交截止时间</w:t>
      </w:r>
      <w:r>
        <w:rPr>
          <w:rFonts w:ascii="宋体" w:hAnsi="宋体" w:eastAsia="宋体"/>
          <w:color w:val="auto"/>
          <w:sz w:val="24"/>
          <w:highlight w:val="none"/>
        </w:rPr>
        <w:t>制约的所有权利和义务均应延长至新的截止时间。</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7.</w:t>
      </w:r>
      <w:r>
        <w:rPr>
          <w:rFonts w:hint="eastAsia" w:ascii="宋体" w:hAnsi="宋体" w:eastAsia="宋体"/>
          <w:b/>
          <w:color w:val="auto"/>
          <w:sz w:val="24"/>
          <w:highlight w:val="none"/>
        </w:rPr>
        <w:t>响应文件的提交、修改与撤回</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17</w:t>
      </w:r>
      <w:r>
        <w:rPr>
          <w:rFonts w:hint="eastAsia" w:ascii="宋体" w:hAnsi="宋体" w:eastAsia="宋体"/>
          <w:color w:val="auto"/>
          <w:sz w:val="24"/>
          <w:highlight w:val="none"/>
        </w:rPr>
        <w:t>.1供应商应当在第一章“磋商邀请”规定的响应文件提交截止时间前</w:t>
      </w:r>
      <w:r>
        <w:rPr>
          <w:rFonts w:ascii="宋体" w:hAnsi="宋体" w:eastAsia="宋体"/>
          <w:color w:val="auto"/>
          <w:sz w:val="24"/>
          <w:highlight w:val="none"/>
        </w:rPr>
        <w:t>，</w:t>
      </w:r>
      <w:r>
        <w:rPr>
          <w:rFonts w:hint="eastAsia" w:ascii="宋体" w:hAnsi="宋体" w:eastAsia="宋体"/>
          <w:color w:val="auto"/>
          <w:sz w:val="24"/>
          <w:highlight w:val="none"/>
          <w:lang w:eastAsia="zh-CN"/>
        </w:rPr>
        <w:t>现场递交响应文件</w:t>
      </w:r>
      <w:r>
        <w:rPr>
          <w:rFonts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17</w:t>
      </w:r>
      <w:r>
        <w:rPr>
          <w:rFonts w:hint="eastAsia" w:ascii="宋体" w:hAnsi="宋体" w:eastAsia="宋体"/>
          <w:color w:val="auto"/>
          <w:sz w:val="24"/>
          <w:highlight w:val="none"/>
        </w:rPr>
        <w:t>.2供应商应当在响应文件提交截止时间前完成响应文件的提交，并可以补充、修改或者撤回响应文件。响应文件提交截止时间前未完成响应文件</w:t>
      </w:r>
      <w:r>
        <w:rPr>
          <w:rFonts w:hint="eastAsia" w:ascii="宋体" w:hAnsi="宋体" w:eastAsia="宋体"/>
          <w:color w:val="auto"/>
          <w:sz w:val="24"/>
          <w:highlight w:val="none"/>
          <w:lang w:eastAsia="zh-CN"/>
        </w:rPr>
        <w:t>提交</w:t>
      </w:r>
      <w:r>
        <w:rPr>
          <w:rFonts w:hint="eastAsia" w:ascii="宋体" w:hAnsi="宋体" w:eastAsia="宋体"/>
          <w:color w:val="auto"/>
          <w:sz w:val="24"/>
          <w:highlight w:val="none"/>
        </w:rPr>
        <w:t>的，视为撤回响应文件。未按规定响应文件提交截止时间后送达的响应文件，应当拒收。</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17</w:t>
      </w:r>
      <w:r>
        <w:rPr>
          <w:rFonts w:hint="eastAsia" w:ascii="宋体" w:hAnsi="宋体" w:eastAsia="宋体"/>
          <w:color w:val="auto"/>
          <w:sz w:val="24"/>
          <w:highlight w:val="none"/>
        </w:rPr>
        <w:t>.</w:t>
      </w:r>
      <w:r>
        <w:rPr>
          <w:rFonts w:ascii="宋体" w:hAnsi="宋体" w:eastAsia="宋体"/>
          <w:color w:val="auto"/>
          <w:sz w:val="24"/>
          <w:highlight w:val="none"/>
        </w:rPr>
        <w:t>3</w:t>
      </w:r>
      <w:r>
        <w:rPr>
          <w:rFonts w:hint="eastAsia" w:ascii="宋体" w:hAnsi="宋体" w:eastAsia="宋体"/>
          <w:color w:val="auto"/>
          <w:sz w:val="24"/>
          <w:highlight w:val="none"/>
        </w:rPr>
        <w:t>在响应文件提交截止时间之后，供应商不得对其响应文件做任何修改。但属于磋商小组在评审中发现的计算错误并进行核实的修改、按照磋商文件的变动情况和磋商小组的要求重新提交响应文件的，不在此列。</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1</w:t>
      </w:r>
      <w:r>
        <w:rPr>
          <w:rFonts w:ascii="宋体" w:hAnsi="宋体" w:eastAsia="宋体"/>
          <w:b/>
          <w:color w:val="auto"/>
          <w:sz w:val="24"/>
          <w:highlight w:val="none"/>
        </w:rPr>
        <w:t>8.</w:t>
      </w:r>
      <w:r>
        <w:rPr>
          <w:rFonts w:hint="eastAsia" w:ascii="宋体" w:hAnsi="宋体" w:eastAsia="宋体"/>
          <w:b/>
          <w:color w:val="auto"/>
          <w:sz w:val="24"/>
          <w:highlight w:val="none"/>
        </w:rPr>
        <w:t>磋商小组</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18</w:t>
      </w:r>
      <w:r>
        <w:rPr>
          <w:rFonts w:ascii="宋体" w:hAnsi="宋体" w:eastAsia="宋体"/>
          <w:color w:val="auto"/>
          <w:sz w:val="24"/>
          <w:highlight w:val="none"/>
        </w:rPr>
        <w:t>.1本项目将依法组建磋商小组，磋商小组成员由3人以上单数组成，磋商小组及其成员应当依照政府采购的有关规定履行相关职责和义务。</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18</w:t>
      </w:r>
      <w:r>
        <w:rPr>
          <w:rFonts w:ascii="宋体" w:hAnsi="宋体" w:eastAsia="宋体"/>
          <w:color w:val="auto"/>
          <w:sz w:val="24"/>
          <w:highlight w:val="none"/>
        </w:rPr>
        <w:t>.2磋商小组依法对响应文件进行评审，并根据磋商文件规定的程序、评定成交的标准等事项与实质性响应磋商文件要求的供应商进行磋商。</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18</w:t>
      </w:r>
      <w:r>
        <w:rPr>
          <w:rFonts w:ascii="宋体" w:hAnsi="宋体" w:eastAsia="宋体"/>
          <w:color w:val="auto"/>
          <w:sz w:val="24"/>
          <w:highlight w:val="none"/>
        </w:rPr>
        <w:t>.3磋商小组应当从质量和服务均能满足磋商文件实质性响应要求的供应商中，按照评审</w:t>
      </w:r>
      <w:r>
        <w:rPr>
          <w:rFonts w:hint="eastAsia" w:ascii="宋体" w:hAnsi="宋体" w:eastAsia="宋体"/>
          <w:color w:val="auto"/>
          <w:sz w:val="24"/>
          <w:highlight w:val="none"/>
        </w:rPr>
        <w:t>方</w:t>
      </w:r>
      <w:r>
        <w:rPr>
          <w:rFonts w:ascii="宋体" w:hAnsi="宋体" w:eastAsia="宋体"/>
          <w:color w:val="auto"/>
          <w:sz w:val="24"/>
          <w:highlight w:val="none"/>
        </w:rPr>
        <w:t>法</w:t>
      </w:r>
      <w:r>
        <w:rPr>
          <w:rFonts w:hint="eastAsia" w:ascii="宋体" w:hAnsi="宋体" w:eastAsia="宋体"/>
          <w:color w:val="auto"/>
          <w:sz w:val="24"/>
          <w:highlight w:val="none"/>
        </w:rPr>
        <w:t>和标准推荐</w:t>
      </w:r>
      <w:r>
        <w:rPr>
          <w:rFonts w:ascii="宋体" w:hAnsi="宋体" w:eastAsia="宋体"/>
          <w:color w:val="auto"/>
          <w:sz w:val="24"/>
          <w:highlight w:val="none"/>
        </w:rPr>
        <w:t>成交候选供应商，并编写</w:t>
      </w:r>
      <w:r>
        <w:rPr>
          <w:rFonts w:hint="eastAsia" w:ascii="宋体" w:hAnsi="宋体" w:eastAsia="宋体"/>
          <w:color w:val="auto"/>
          <w:sz w:val="24"/>
          <w:highlight w:val="none"/>
        </w:rPr>
        <w:t>评审</w:t>
      </w:r>
      <w:r>
        <w:rPr>
          <w:rFonts w:ascii="宋体" w:hAnsi="宋体" w:eastAsia="宋体"/>
          <w:color w:val="auto"/>
          <w:sz w:val="24"/>
          <w:highlight w:val="none"/>
        </w:rPr>
        <w:t>报告。</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19.响应文件的评审与磋商</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w:t>
      </w:r>
      <w:r>
        <w:rPr>
          <w:rFonts w:ascii="宋体" w:hAnsi="宋体" w:eastAsia="宋体"/>
          <w:color w:val="auto"/>
          <w:sz w:val="24"/>
          <w:highlight w:val="none"/>
        </w:rPr>
        <w:t>.</w:t>
      </w:r>
      <w:r>
        <w:rPr>
          <w:rFonts w:hint="eastAsia" w:ascii="宋体" w:hAnsi="宋体" w:eastAsia="宋体"/>
          <w:color w:val="auto"/>
          <w:sz w:val="24"/>
          <w:highlight w:val="none"/>
        </w:rPr>
        <w:t>1采购人和采购代理机构将在</w:t>
      </w:r>
      <w:r>
        <w:rPr>
          <w:rFonts w:ascii="宋体" w:hAnsi="宋体" w:eastAsia="宋体"/>
          <w:color w:val="auto"/>
          <w:sz w:val="24"/>
          <w:highlight w:val="none"/>
          <w:u w:val="single"/>
        </w:rPr>
        <w:t>供应商须知前附表</w:t>
      </w:r>
      <w:r>
        <w:rPr>
          <w:rFonts w:hint="eastAsia" w:ascii="宋体" w:hAnsi="宋体" w:eastAsia="宋体"/>
          <w:color w:val="auto"/>
          <w:sz w:val="24"/>
          <w:highlight w:val="none"/>
        </w:rPr>
        <w:t>规定的时间和地点组织磋商。</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19.2竞争性磋商活动采用综合评分法评审。</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综合评分法，是指响应文件满足磋商文件全部实质性要求且按评审因素的量化指标评审得分最高的供应商为成交候选供应商的评审方法。</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19.3磋商小组将按照磋商文件规定的</w:t>
      </w:r>
      <w:r>
        <w:rPr>
          <w:rFonts w:ascii="宋体" w:hAnsi="宋体" w:eastAsia="宋体"/>
          <w:color w:val="auto"/>
          <w:sz w:val="24"/>
          <w:highlight w:val="none"/>
        </w:rPr>
        <w:t>评审</w:t>
      </w:r>
      <w:r>
        <w:rPr>
          <w:rFonts w:hint="eastAsia" w:ascii="宋体" w:hAnsi="宋体" w:eastAsia="宋体"/>
          <w:color w:val="auto"/>
          <w:sz w:val="24"/>
          <w:highlight w:val="none"/>
        </w:rPr>
        <w:t>方</w:t>
      </w:r>
      <w:r>
        <w:rPr>
          <w:rFonts w:ascii="宋体" w:hAnsi="宋体" w:eastAsia="宋体"/>
          <w:color w:val="auto"/>
          <w:sz w:val="24"/>
          <w:highlight w:val="none"/>
        </w:rPr>
        <w:t>法</w:t>
      </w:r>
      <w:r>
        <w:rPr>
          <w:rFonts w:hint="eastAsia" w:ascii="宋体" w:hAnsi="宋体" w:eastAsia="宋体"/>
          <w:color w:val="auto"/>
          <w:sz w:val="24"/>
          <w:highlight w:val="none"/>
        </w:rPr>
        <w:t>和标准对供应商独立进行评审。评审程序如下：</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19.3.1</w:t>
      </w:r>
      <w:r>
        <w:rPr>
          <w:rFonts w:hint="eastAsia" w:ascii="宋体" w:hAnsi="宋体" w:eastAsia="宋体"/>
          <w:b/>
          <w:color w:val="auto"/>
          <w:sz w:val="24"/>
          <w:highlight w:val="none"/>
        </w:rPr>
        <w:t>初审</w:t>
      </w:r>
      <w:r>
        <w:rPr>
          <w:rFonts w:hint="eastAsia" w:ascii="宋体" w:hAnsi="宋体" w:eastAsia="宋体"/>
          <w:color w:val="auto"/>
          <w:sz w:val="24"/>
          <w:highlight w:val="none"/>
        </w:rPr>
        <w:t>。磋商小组对供应商必须满足和实质性响应的内容进行评审，供应商未实质性响应磋商文件要求导致响应无效的，磋商小组将以书面询标的方式告知有关供应商。</w:t>
      </w:r>
    </w:p>
    <w:p>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采购人</w:t>
      </w:r>
      <w:r>
        <w:rPr>
          <w:rFonts w:ascii="宋体" w:hAnsi="宋体" w:eastAsia="宋体"/>
          <w:color w:val="auto"/>
          <w:sz w:val="24"/>
          <w:highlight w:val="none"/>
        </w:rPr>
        <w:t>或采购代理机构</w:t>
      </w:r>
      <w:r>
        <w:rPr>
          <w:rFonts w:hint="eastAsia" w:ascii="宋体" w:hAnsi="宋体" w:eastAsia="宋体"/>
          <w:color w:val="auto"/>
          <w:sz w:val="24"/>
          <w:highlight w:val="none"/>
        </w:rPr>
        <w:t>将在响应文件提交截止时间后至评审结束前查询供应商的信用记录。供应商存在不良信用记录的，其响应文件将被认定为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19.3.1不良信用记录指：（1）供应商被人民法院列入失信被执行人；（2）供应商或其法定代表人或拟派项目经理（项目负责人）被人民检察院列入行贿犯罪档案；（3）供应商被工商行政管理部门列入企业经营异常名录；（4）供应商被税务部门列入重大税收违法案件当事人名单；（5）供应商被政府采购监管部门列入政府采购严重违法失信行为记录名单，以及存在《中华人民共和国政府采购法实施条例》第十九条规定的行政处罚记录。</w:t>
      </w:r>
    </w:p>
    <w:p>
      <w:pPr>
        <w:spacing w:line="360" w:lineRule="auto"/>
        <w:ind w:firstLine="360" w:firstLineChars="150"/>
        <w:rPr>
          <w:rFonts w:ascii="宋体" w:hAnsi="宋体" w:eastAsia="宋体"/>
          <w:color w:val="auto"/>
          <w:sz w:val="24"/>
          <w:highlight w:val="none"/>
        </w:rPr>
      </w:pPr>
      <w:r>
        <w:rPr>
          <w:rFonts w:hint="eastAsia" w:ascii="宋体" w:hAnsi="宋体" w:eastAsia="宋体"/>
          <w:color w:val="auto"/>
          <w:sz w:val="24"/>
          <w:highlight w:val="none"/>
        </w:rPr>
        <w:t>以联合体形式参加磋商的，联合体任何成员存在以上不良信用记录的，联合体磋商将被认定为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19.3.2</w:t>
      </w:r>
      <w:r>
        <w:rPr>
          <w:rFonts w:hint="eastAsia" w:ascii="宋体" w:hAnsi="宋体" w:eastAsia="宋体"/>
          <w:b/>
          <w:color w:val="auto"/>
          <w:sz w:val="24"/>
          <w:highlight w:val="none"/>
        </w:rPr>
        <w:t>磋商</w:t>
      </w:r>
      <w:r>
        <w:rPr>
          <w:rFonts w:hint="eastAsia" w:ascii="宋体" w:hAnsi="宋体" w:eastAsia="宋体"/>
          <w:color w:val="auto"/>
          <w:sz w:val="24"/>
          <w:highlight w:val="none"/>
        </w:rPr>
        <w:t>。初审合格后，磋商小组将按响应文件提交顺序集中与单一供应商分别进行磋商，并给予所有参加磋商的供应商平等的磋商机会。</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19.3.3</w:t>
      </w:r>
      <w:r>
        <w:rPr>
          <w:rFonts w:ascii="宋体" w:hAnsi="宋体" w:eastAsia="宋体"/>
          <w:b/>
          <w:color w:val="auto"/>
          <w:sz w:val="24"/>
          <w:highlight w:val="none"/>
        </w:rPr>
        <w:t>报价</w:t>
      </w:r>
      <w:r>
        <w:rPr>
          <w:rFonts w:hint="eastAsia" w:ascii="宋体" w:hAnsi="宋体" w:eastAsia="宋体"/>
          <w:color w:val="auto"/>
          <w:sz w:val="24"/>
          <w:highlight w:val="none"/>
        </w:rPr>
        <w:t>。</w:t>
      </w:r>
      <w:r>
        <w:rPr>
          <w:rFonts w:ascii="宋体" w:hAnsi="宋体" w:eastAsia="宋体"/>
          <w:color w:val="auto"/>
          <w:sz w:val="24"/>
          <w:highlight w:val="none"/>
        </w:rPr>
        <w:t>磋商结束后，磋商小组应当要求所有</w:t>
      </w:r>
      <w:r>
        <w:rPr>
          <w:rFonts w:hint="eastAsia" w:ascii="宋体" w:hAnsi="宋体" w:eastAsia="宋体"/>
          <w:color w:val="auto"/>
          <w:sz w:val="24"/>
          <w:highlight w:val="none"/>
        </w:rPr>
        <w:t>实质性响应</w:t>
      </w:r>
      <w:r>
        <w:rPr>
          <w:rFonts w:ascii="宋体" w:hAnsi="宋体" w:eastAsia="宋体"/>
          <w:color w:val="auto"/>
          <w:sz w:val="24"/>
          <w:highlight w:val="none"/>
        </w:rPr>
        <w:t>的供应商在规定时间内提交最后报价</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19.3.4</w:t>
      </w:r>
      <w:r>
        <w:rPr>
          <w:rFonts w:hint="eastAsia" w:ascii="宋体" w:hAnsi="宋体" w:eastAsia="宋体"/>
          <w:b/>
          <w:color w:val="auto"/>
          <w:sz w:val="24"/>
          <w:highlight w:val="none"/>
        </w:rPr>
        <w:t>综合评分</w:t>
      </w:r>
      <w:r>
        <w:rPr>
          <w:rFonts w:hint="eastAsia" w:ascii="宋体" w:hAnsi="宋体" w:eastAsia="宋体"/>
          <w:color w:val="auto"/>
          <w:sz w:val="24"/>
          <w:highlight w:val="none"/>
        </w:rPr>
        <w:t>。磋商小组只对通过初审，实质上响应磋商文件要求的响应文件进行综合评分。经磋商确定最终采购需求和提交最后报价的供应商后，由磋商小组采用综合评分法对提交最后报价的供应商的响应文件和最后报价进行综合评分。</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19.4相关说明。</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19.4.1为保证磋商活动顺利进行，供应商可派相关技术人员</w:t>
      </w:r>
      <w:r>
        <w:rPr>
          <w:rFonts w:hint="eastAsia" w:ascii="宋体" w:hAnsi="宋体" w:eastAsia="宋体"/>
          <w:color w:val="auto"/>
          <w:sz w:val="24"/>
          <w:highlight w:val="none"/>
          <w:lang w:eastAsia="zh-CN"/>
        </w:rPr>
        <w:t>现场</w:t>
      </w:r>
      <w:r>
        <w:rPr>
          <w:rFonts w:hint="eastAsia" w:ascii="宋体" w:hAnsi="宋体" w:eastAsia="宋体"/>
          <w:color w:val="auto"/>
          <w:sz w:val="24"/>
          <w:highlight w:val="none"/>
        </w:rPr>
        <w:t xml:space="preserve">答疑； </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19.4.2磋</w:t>
      </w:r>
      <w:r>
        <w:rPr>
          <w:rFonts w:ascii="宋体" w:hAnsi="宋体" w:eastAsia="宋体"/>
          <w:color w:val="auto"/>
          <w:sz w:val="24"/>
          <w:highlight w:val="none"/>
        </w:rPr>
        <w:t>商小组根据与</w:t>
      </w:r>
      <w:r>
        <w:rPr>
          <w:rFonts w:hint="eastAsia" w:ascii="宋体" w:hAnsi="宋体" w:eastAsia="宋体"/>
          <w:color w:val="auto"/>
          <w:sz w:val="24"/>
          <w:highlight w:val="none"/>
        </w:rPr>
        <w:t>供应商</w:t>
      </w:r>
      <w:r>
        <w:rPr>
          <w:rFonts w:ascii="宋体" w:hAnsi="宋体" w:eastAsia="宋体"/>
          <w:color w:val="auto"/>
          <w:sz w:val="24"/>
          <w:highlight w:val="none"/>
        </w:rPr>
        <w:t>磋商情况可能实质性变动</w:t>
      </w:r>
      <w:r>
        <w:rPr>
          <w:rFonts w:hint="eastAsia" w:ascii="宋体" w:hAnsi="宋体" w:eastAsia="宋体"/>
          <w:color w:val="auto"/>
          <w:sz w:val="24"/>
          <w:highlight w:val="none"/>
        </w:rPr>
        <w:t>磋商文件</w:t>
      </w:r>
      <w:r>
        <w:rPr>
          <w:rFonts w:ascii="宋体" w:hAnsi="宋体" w:eastAsia="宋体"/>
          <w:color w:val="auto"/>
          <w:sz w:val="24"/>
          <w:highlight w:val="none"/>
        </w:rPr>
        <w:t>的内容，包括采购需求中的技术、服务要求以及合同草案条款。磋商文件有实质性变动的，</w:t>
      </w:r>
      <w:r>
        <w:rPr>
          <w:rFonts w:hint="eastAsia" w:ascii="宋体" w:hAnsi="宋体" w:eastAsia="宋体"/>
          <w:color w:val="auto"/>
          <w:sz w:val="24"/>
          <w:highlight w:val="none"/>
        </w:rPr>
        <w:t>经采购人代表确认作为磋商文件的有效组成部分，</w:t>
      </w:r>
      <w:r>
        <w:rPr>
          <w:rFonts w:ascii="宋体" w:hAnsi="宋体" w:eastAsia="宋体"/>
          <w:color w:val="auto"/>
          <w:sz w:val="24"/>
          <w:highlight w:val="none"/>
        </w:rPr>
        <w:t>磋商小组</w:t>
      </w:r>
      <w:r>
        <w:rPr>
          <w:rFonts w:hint="eastAsia" w:ascii="宋体" w:hAnsi="宋体" w:eastAsia="宋体"/>
          <w:color w:val="auto"/>
          <w:sz w:val="24"/>
          <w:highlight w:val="none"/>
        </w:rPr>
        <w:t>将</w:t>
      </w:r>
      <w:r>
        <w:rPr>
          <w:rFonts w:ascii="宋体" w:hAnsi="宋体" w:eastAsia="宋体"/>
          <w:color w:val="auto"/>
          <w:sz w:val="24"/>
          <w:highlight w:val="none"/>
        </w:rPr>
        <w:t>以书面形式通知所有参加磋商的供应商。</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19.4.3磋商小组发现供应商的报价或者某些分项报价明显低于其他通过初审的供应商的报价，有可能影响产品质量和不能诚信履约的，应当要求其在合理的时间内提供书面说明，</w:t>
      </w:r>
      <w:r>
        <w:rPr>
          <w:rFonts w:ascii="宋体" w:hAnsi="宋体" w:eastAsia="宋体"/>
          <w:color w:val="auto"/>
          <w:sz w:val="24"/>
          <w:highlight w:val="none"/>
        </w:rPr>
        <w:t>必要时提交相关证明材料；</w:t>
      </w:r>
      <w:r>
        <w:rPr>
          <w:rFonts w:hint="eastAsia" w:ascii="宋体" w:hAnsi="宋体" w:eastAsia="宋体"/>
          <w:color w:val="auto"/>
          <w:sz w:val="24"/>
          <w:highlight w:val="none"/>
        </w:rPr>
        <w:t>供应商</w:t>
      </w:r>
      <w:r>
        <w:rPr>
          <w:rFonts w:ascii="宋体" w:hAnsi="宋体" w:eastAsia="宋体"/>
          <w:color w:val="auto"/>
          <w:sz w:val="24"/>
          <w:highlight w:val="none"/>
        </w:rPr>
        <w:t>不能证明其报价合理性的，</w:t>
      </w:r>
      <w:r>
        <w:rPr>
          <w:rFonts w:hint="eastAsia" w:ascii="宋体" w:hAnsi="宋体" w:eastAsia="宋体"/>
          <w:color w:val="auto"/>
          <w:sz w:val="24"/>
          <w:highlight w:val="none"/>
        </w:rPr>
        <w:t>其响应文件将被认定为</w:t>
      </w:r>
      <w:r>
        <w:rPr>
          <w:rFonts w:hint="eastAsia" w:ascii="宋体" w:hAnsi="宋体" w:eastAsia="宋体"/>
          <w:b/>
          <w:color w:val="auto"/>
          <w:sz w:val="24"/>
          <w:highlight w:val="none"/>
        </w:rPr>
        <w:t>响应无效</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19.4.4</w:t>
      </w:r>
      <w:r>
        <w:rPr>
          <w:rFonts w:ascii="宋体" w:hAnsi="宋体" w:eastAsia="宋体"/>
          <w:color w:val="auto"/>
          <w:sz w:val="24"/>
          <w:highlight w:val="none"/>
        </w:rPr>
        <w:t>无论何种原因，即使供应商</w:t>
      </w:r>
      <w:r>
        <w:rPr>
          <w:rFonts w:hint="eastAsia" w:ascii="宋体" w:hAnsi="宋体" w:eastAsia="宋体"/>
          <w:color w:val="auto"/>
          <w:sz w:val="24"/>
          <w:highlight w:val="none"/>
        </w:rPr>
        <w:t>磋商</w:t>
      </w:r>
      <w:r>
        <w:rPr>
          <w:rFonts w:ascii="宋体" w:hAnsi="宋体" w:eastAsia="宋体"/>
          <w:color w:val="auto"/>
          <w:sz w:val="24"/>
          <w:highlight w:val="none"/>
        </w:rPr>
        <w:t>时携带了证书材料的原件，但响应文件中未提供与之内容完全一致的</w:t>
      </w:r>
      <w:r>
        <w:rPr>
          <w:rFonts w:hint="eastAsia" w:ascii="宋体" w:hAnsi="宋体" w:eastAsia="宋体"/>
          <w:color w:val="auto"/>
          <w:sz w:val="24"/>
          <w:highlight w:val="none"/>
        </w:rPr>
        <w:t>扫描件</w:t>
      </w:r>
      <w:r>
        <w:rPr>
          <w:rFonts w:ascii="宋体" w:hAnsi="宋体" w:eastAsia="宋体"/>
          <w:color w:val="auto"/>
          <w:sz w:val="24"/>
          <w:highlight w:val="none"/>
        </w:rPr>
        <w:t>或影印件的，</w:t>
      </w:r>
      <w:r>
        <w:rPr>
          <w:rFonts w:hint="eastAsia" w:ascii="宋体" w:hAnsi="宋体" w:eastAsia="宋体"/>
          <w:color w:val="auto"/>
          <w:sz w:val="24"/>
          <w:highlight w:val="none"/>
        </w:rPr>
        <w:t>磋商</w:t>
      </w:r>
      <w:r>
        <w:rPr>
          <w:rFonts w:ascii="宋体" w:hAnsi="宋体" w:eastAsia="宋体"/>
          <w:color w:val="auto"/>
          <w:sz w:val="24"/>
          <w:highlight w:val="none"/>
        </w:rPr>
        <w:t>小组可以视同其未提供。</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19.4.5磋商</w:t>
      </w:r>
      <w:r>
        <w:rPr>
          <w:rFonts w:ascii="宋体" w:hAnsi="宋体" w:eastAsia="宋体"/>
          <w:color w:val="auto"/>
          <w:sz w:val="24"/>
          <w:highlight w:val="none"/>
        </w:rPr>
        <w:t>小组决定响应文件的响应性及符合性只根据响应文件本身的内容，而不寻求其他外部证据。</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19</w:t>
      </w:r>
      <w:r>
        <w:rPr>
          <w:rFonts w:ascii="宋体" w:hAnsi="宋体" w:eastAsia="宋体"/>
          <w:color w:val="auto"/>
          <w:sz w:val="24"/>
          <w:highlight w:val="none"/>
        </w:rPr>
        <w:t>.</w:t>
      </w:r>
      <w:r>
        <w:rPr>
          <w:rFonts w:hint="eastAsia" w:ascii="宋体" w:hAnsi="宋体" w:eastAsia="宋体"/>
          <w:color w:val="auto"/>
          <w:sz w:val="24"/>
          <w:highlight w:val="none"/>
        </w:rPr>
        <w:t>5</w:t>
      </w:r>
      <w:r>
        <w:rPr>
          <w:rFonts w:ascii="宋体" w:hAnsi="宋体" w:eastAsia="宋体"/>
          <w:color w:val="auto"/>
          <w:sz w:val="24"/>
          <w:highlight w:val="none"/>
        </w:rPr>
        <w:t>供应商</w:t>
      </w:r>
      <w:r>
        <w:rPr>
          <w:rFonts w:hint="eastAsia" w:ascii="宋体" w:hAnsi="宋体" w:eastAsia="宋体"/>
          <w:color w:val="auto"/>
          <w:sz w:val="24"/>
          <w:highlight w:val="none"/>
        </w:rPr>
        <w:t>授权</w:t>
      </w:r>
      <w:r>
        <w:rPr>
          <w:rFonts w:ascii="宋体" w:hAnsi="宋体" w:eastAsia="宋体"/>
          <w:color w:val="auto"/>
          <w:sz w:val="24"/>
          <w:highlight w:val="none"/>
        </w:rPr>
        <w:t>代表对</w:t>
      </w:r>
      <w:r>
        <w:rPr>
          <w:rFonts w:hint="eastAsia" w:ascii="宋体" w:hAnsi="宋体" w:eastAsia="宋体"/>
          <w:color w:val="auto"/>
          <w:sz w:val="24"/>
          <w:highlight w:val="none"/>
        </w:rPr>
        <w:t>磋商过程</w:t>
      </w:r>
      <w:r>
        <w:rPr>
          <w:rFonts w:ascii="宋体" w:hAnsi="宋体" w:eastAsia="宋体"/>
          <w:color w:val="auto"/>
          <w:sz w:val="24"/>
          <w:highlight w:val="none"/>
        </w:rPr>
        <w:t>有疑义，以及认为采购人、采购代理机构相关工作人员有需要回避的情形的，应当场提出询问或者回避申请</w:t>
      </w:r>
      <w:r>
        <w:rPr>
          <w:rFonts w:hint="eastAsia" w:ascii="宋体" w:hAnsi="宋体" w:eastAsia="宋体"/>
          <w:color w:val="auto"/>
          <w:sz w:val="24"/>
          <w:highlight w:val="none"/>
        </w:rPr>
        <w:t>，并说明理由。</w:t>
      </w:r>
      <w:r>
        <w:rPr>
          <w:rFonts w:ascii="宋体" w:hAnsi="宋体" w:eastAsia="宋体"/>
          <w:color w:val="auto"/>
          <w:sz w:val="24"/>
          <w:highlight w:val="none"/>
        </w:rPr>
        <w:t xml:space="preserve"> </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20</w:t>
      </w:r>
      <w:r>
        <w:rPr>
          <w:rFonts w:ascii="宋体" w:hAnsi="宋体" w:eastAsia="宋体"/>
          <w:b/>
          <w:color w:val="auto"/>
          <w:sz w:val="24"/>
          <w:highlight w:val="none"/>
        </w:rPr>
        <w:t>.终止竞争性磋商</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20.1出现下列情况之一时，采购人和采购代理机构有权宣布终止竞争性磋商采购，并将理由通知所有供应商：</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（1）有效供应商数量不足，导致本次磋商缺乏竞争的；</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（2）出现影响采购公正的违法、违规行为的；</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（3）因重大变故，采购任务取消的；</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（4）政府采购法律法规规定的其他情形。</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1</w:t>
      </w:r>
      <w:r>
        <w:rPr>
          <w:rFonts w:ascii="宋体" w:hAnsi="宋体" w:eastAsia="宋体"/>
          <w:b/>
          <w:color w:val="auto"/>
          <w:sz w:val="24"/>
          <w:highlight w:val="none"/>
        </w:rPr>
        <w:t>.响应文件的澄清、说明或</w:t>
      </w:r>
      <w:r>
        <w:rPr>
          <w:rFonts w:hint="eastAsia" w:ascii="宋体" w:hAnsi="宋体" w:eastAsia="宋体"/>
          <w:b/>
          <w:color w:val="auto"/>
          <w:sz w:val="24"/>
          <w:highlight w:val="none"/>
        </w:rPr>
        <w:t>更正</w:t>
      </w:r>
    </w:p>
    <w:p>
      <w:pPr>
        <w:spacing w:line="360" w:lineRule="auto"/>
        <w:ind w:firstLine="470" w:firstLineChars="196"/>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1.1磋商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w:t>
      </w:r>
    </w:p>
    <w:p>
      <w:pPr>
        <w:spacing w:line="360" w:lineRule="auto"/>
        <w:ind w:firstLine="470" w:firstLineChars="196"/>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1.2磋商小组要求供应商澄清、说明或者更正响应文件应当以书面形式（询标）作出。供应商的澄清、说明或者更正应当由法定代表人或其授权代表签字或者加盖公章。</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2</w:t>
      </w:r>
      <w:r>
        <w:rPr>
          <w:rFonts w:ascii="宋体" w:hAnsi="宋体" w:eastAsia="宋体"/>
          <w:b/>
          <w:color w:val="auto"/>
          <w:sz w:val="24"/>
          <w:highlight w:val="none"/>
        </w:rPr>
        <w:t>.最后报价</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22.1</w:t>
      </w:r>
      <w:r>
        <w:rPr>
          <w:rFonts w:ascii="宋体" w:hAnsi="宋体" w:eastAsia="宋体"/>
          <w:color w:val="auto"/>
          <w:sz w:val="24"/>
          <w:highlight w:val="none"/>
        </w:rPr>
        <w:t>磋商并不限定只进行二轮报价，如果磋商小组认为有必要，可以要求供应商进行多轮报价。</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22.2</w:t>
      </w:r>
      <w:r>
        <w:rPr>
          <w:rFonts w:ascii="宋体" w:hAnsi="宋体" w:eastAsia="宋体"/>
          <w:color w:val="auto"/>
          <w:sz w:val="24"/>
          <w:highlight w:val="none"/>
        </w:rPr>
        <w:t>在磋商内容不做实质性变更或重大调整的前提下，供应商下轮报价不得高于上一轮报价</w:t>
      </w:r>
      <w:r>
        <w:rPr>
          <w:rFonts w:hint="eastAsia" w:ascii="宋体" w:hAnsi="宋体" w:eastAsia="宋体"/>
          <w:color w:val="auto"/>
          <w:sz w:val="24"/>
          <w:highlight w:val="none"/>
        </w:rPr>
        <w:t>。</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22.3</w:t>
      </w:r>
      <w:r>
        <w:rPr>
          <w:rFonts w:ascii="宋体" w:hAnsi="宋体" w:eastAsia="宋体"/>
          <w:color w:val="auto"/>
          <w:sz w:val="24"/>
          <w:highlight w:val="none"/>
        </w:rPr>
        <w:t>最后报价是供应商响应文件的有效组成部分，最后报价也是签订合同的依据。</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22.4根据《政府采购促进中小企业发展管理办法》（财库〔2020〕46号）、《财政部 司法部关于政府采购支持监狱企业发展有关问题的通知》（财库〔2014〕68号）和《三部门联合发布关于促进残疾人就业政府采购政策的通知》（财库〔2017〕141号）的规定，对满足价格扣除条件且在响应文件中提交了《中小企业声明函》、《残疾人福利性单位声明函》或省级以上监狱管理局、戒毒管理局（含新疆生产建设兵团）出具的属于监狱企业的证明文件的供应商，其最后报价按照供应商须知前附表中规定的标准扣除后的价格参与评审。对于同时属于小微企</w:t>
      </w:r>
      <w:r>
        <w:rPr>
          <w:rFonts w:hint="eastAsia" w:ascii="宋体" w:hAnsi="宋体" w:eastAsia="宋体"/>
          <w:color w:val="auto"/>
          <w:sz w:val="24"/>
          <w:highlight w:val="none"/>
        </w:rPr>
        <w:t>业、监狱企业或残疾人福利性单位的，不重复进行最后报价扣除。</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接受大中型企业与小微企业组成联合体或者允许大中型企业向一家或者多家小微企业分包的，对于联合协议或者分包意向协议约定小微企业的合同份额占到合同总金额</w:t>
      </w:r>
      <w:r>
        <w:rPr>
          <w:rFonts w:ascii="宋体" w:hAnsi="宋体" w:eastAsia="宋体"/>
          <w:color w:val="auto"/>
          <w:sz w:val="24"/>
          <w:highlight w:val="none"/>
        </w:rPr>
        <w:t>30%以上的，可给予联合体或者大中型企业的最后报价按照供应商须知前附表中规定的标准扣除后的价格参与评审。组成联合体或者接受分包的小微企业与联合体内其他企业、分包企业之间存在直接控股、管理关系的，不享受价格扣除优惠政策。</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以联合体形式参加政府采购活动，联合体各方均为中小企业的，联合体视同中小企业。其中，联合体各方均为小微企业的，联合体视同小微企业。</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23.</w:t>
      </w:r>
      <w:r>
        <w:rPr>
          <w:rFonts w:hint="eastAsia" w:ascii="宋体" w:hAnsi="宋体" w:eastAsia="宋体"/>
          <w:b/>
          <w:color w:val="auto"/>
          <w:sz w:val="24"/>
          <w:highlight w:val="none"/>
        </w:rPr>
        <w:t>成交候选供应商的推荐原则及标准</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23.1</w:t>
      </w:r>
      <w:r>
        <w:rPr>
          <w:rFonts w:hint="eastAsia" w:ascii="宋体" w:hAnsi="宋体" w:eastAsia="宋体"/>
          <w:color w:val="auto"/>
          <w:sz w:val="24"/>
          <w:highlight w:val="none"/>
        </w:rPr>
        <w:t>磋商小组</w:t>
      </w:r>
      <w:r>
        <w:rPr>
          <w:rFonts w:ascii="宋体" w:hAnsi="宋体" w:eastAsia="宋体"/>
          <w:color w:val="auto"/>
          <w:sz w:val="24"/>
          <w:highlight w:val="none"/>
        </w:rPr>
        <w:t>依据本项目</w:t>
      </w:r>
      <w:r>
        <w:rPr>
          <w:rFonts w:hint="eastAsia" w:ascii="宋体" w:hAnsi="宋体" w:eastAsia="宋体"/>
          <w:color w:val="auto"/>
          <w:sz w:val="24"/>
          <w:highlight w:val="none"/>
        </w:rPr>
        <w:t>磋商</w:t>
      </w:r>
      <w:r>
        <w:rPr>
          <w:rFonts w:ascii="宋体" w:hAnsi="宋体" w:eastAsia="宋体"/>
          <w:color w:val="auto"/>
          <w:sz w:val="24"/>
          <w:highlight w:val="none"/>
        </w:rPr>
        <w:t>文件所约定的</w:t>
      </w:r>
      <w:r>
        <w:rPr>
          <w:rFonts w:hint="eastAsia" w:ascii="宋体" w:hAnsi="宋体" w:eastAsia="宋体"/>
          <w:color w:val="auto"/>
          <w:sz w:val="24"/>
          <w:highlight w:val="none"/>
        </w:rPr>
        <w:t>评审</w:t>
      </w:r>
      <w:r>
        <w:rPr>
          <w:rFonts w:ascii="宋体" w:hAnsi="宋体" w:eastAsia="宋体"/>
          <w:color w:val="auto"/>
          <w:sz w:val="24"/>
          <w:highlight w:val="none"/>
        </w:rPr>
        <w:t>方法</w:t>
      </w:r>
      <w:r>
        <w:rPr>
          <w:rFonts w:hint="eastAsia" w:ascii="宋体" w:hAnsi="宋体" w:eastAsia="宋体"/>
          <w:color w:val="auto"/>
          <w:sz w:val="24"/>
          <w:highlight w:val="none"/>
        </w:rPr>
        <w:t>和标准</w:t>
      </w:r>
      <w:r>
        <w:rPr>
          <w:rFonts w:ascii="宋体" w:hAnsi="宋体" w:eastAsia="宋体"/>
          <w:color w:val="auto"/>
          <w:sz w:val="24"/>
          <w:highlight w:val="none"/>
        </w:rPr>
        <w:t>，</w:t>
      </w:r>
      <w:r>
        <w:rPr>
          <w:rFonts w:hint="eastAsia" w:ascii="宋体" w:hAnsi="宋体" w:eastAsia="宋体"/>
          <w:color w:val="auto"/>
          <w:sz w:val="24"/>
          <w:highlight w:val="none"/>
        </w:rPr>
        <w:t>按照有效供应商综合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4</w:t>
      </w:r>
      <w:r>
        <w:rPr>
          <w:rFonts w:ascii="宋体" w:hAnsi="宋体" w:eastAsia="宋体"/>
          <w:b/>
          <w:color w:val="auto"/>
          <w:sz w:val="24"/>
          <w:highlight w:val="none"/>
        </w:rPr>
        <w:t>.</w:t>
      </w:r>
      <w:r>
        <w:rPr>
          <w:rFonts w:hint="eastAsia" w:ascii="宋体" w:hAnsi="宋体" w:eastAsia="宋体"/>
          <w:b/>
          <w:color w:val="auto"/>
          <w:sz w:val="24"/>
          <w:highlight w:val="none"/>
        </w:rPr>
        <w:t>确定成交候选供应商和成交供应商</w:t>
      </w:r>
    </w:p>
    <w:p>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24.1磋商小组根据综合评分的结果和供应商</w:t>
      </w:r>
      <w:r>
        <w:rPr>
          <w:rFonts w:ascii="宋体" w:hAnsi="宋体" w:eastAsia="宋体"/>
          <w:color w:val="auto"/>
          <w:sz w:val="24"/>
          <w:highlight w:val="none"/>
        </w:rPr>
        <w:t>须知前附表中规定</w:t>
      </w:r>
      <w:r>
        <w:rPr>
          <w:rFonts w:hint="eastAsia" w:ascii="宋体" w:hAnsi="宋体" w:eastAsia="宋体"/>
          <w:color w:val="auto"/>
          <w:sz w:val="24"/>
          <w:highlight w:val="none"/>
        </w:rPr>
        <w:t>确定成交候选供应商，并标明排列顺序。排名第一的成交候选供应商经采购人或采购人授权的磋商小组确定为成交供应商后，由</w:t>
      </w:r>
      <w:r>
        <w:rPr>
          <w:rFonts w:ascii="宋体" w:hAnsi="宋体" w:eastAsia="宋体"/>
          <w:color w:val="auto"/>
          <w:sz w:val="24"/>
          <w:highlight w:val="none"/>
        </w:rPr>
        <w:t>采购代理机构</w:t>
      </w:r>
      <w:r>
        <w:rPr>
          <w:rFonts w:hint="eastAsia" w:ascii="宋体" w:hAnsi="宋体" w:eastAsia="宋体"/>
          <w:color w:val="auto"/>
          <w:sz w:val="24"/>
          <w:highlight w:val="none"/>
        </w:rPr>
        <w:t>在指定媒体上予以公告。</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5</w:t>
      </w:r>
      <w:r>
        <w:rPr>
          <w:rFonts w:ascii="宋体" w:hAnsi="宋体" w:eastAsia="宋体"/>
          <w:b/>
          <w:color w:val="auto"/>
          <w:sz w:val="24"/>
          <w:highlight w:val="none"/>
        </w:rPr>
        <w:t>.编写评审报告</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25.1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26</w:t>
      </w:r>
      <w:r>
        <w:rPr>
          <w:rFonts w:ascii="宋体" w:hAnsi="宋体" w:eastAsia="宋体"/>
          <w:b/>
          <w:color w:val="auto"/>
          <w:sz w:val="24"/>
          <w:highlight w:val="none"/>
        </w:rPr>
        <w:t>.</w:t>
      </w:r>
      <w:r>
        <w:rPr>
          <w:rFonts w:hint="eastAsia" w:ascii="宋体" w:hAnsi="宋体" w:eastAsia="宋体"/>
          <w:b/>
          <w:color w:val="auto"/>
          <w:sz w:val="24"/>
          <w:highlight w:val="none"/>
        </w:rPr>
        <w:t>保密要求</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6.1评审将在严格保密的情况下进行。</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6.2有关人员</w:t>
      </w:r>
      <w:r>
        <w:rPr>
          <w:rFonts w:ascii="宋体" w:hAnsi="宋体" w:eastAsia="宋体"/>
          <w:color w:val="auto"/>
          <w:sz w:val="24"/>
          <w:highlight w:val="none"/>
        </w:rPr>
        <w:t>应当</w:t>
      </w:r>
      <w:r>
        <w:rPr>
          <w:rFonts w:hint="eastAsia" w:ascii="宋体" w:hAnsi="宋体" w:eastAsia="宋体"/>
          <w:color w:val="auto"/>
          <w:sz w:val="24"/>
          <w:highlight w:val="none"/>
        </w:rPr>
        <w:t>遵</w:t>
      </w:r>
      <w:r>
        <w:rPr>
          <w:rFonts w:ascii="宋体" w:hAnsi="宋体" w:eastAsia="宋体"/>
          <w:color w:val="auto"/>
          <w:sz w:val="24"/>
          <w:highlight w:val="none"/>
        </w:rPr>
        <w:t>守</w:t>
      </w:r>
      <w:r>
        <w:rPr>
          <w:rFonts w:hint="eastAsia" w:ascii="宋体" w:hAnsi="宋体" w:eastAsia="宋体"/>
          <w:color w:val="auto"/>
          <w:sz w:val="24"/>
          <w:highlight w:val="none"/>
        </w:rPr>
        <w:t>评审</w:t>
      </w:r>
      <w:r>
        <w:rPr>
          <w:rFonts w:ascii="宋体" w:hAnsi="宋体" w:eastAsia="宋体"/>
          <w:color w:val="auto"/>
          <w:sz w:val="24"/>
          <w:highlight w:val="none"/>
        </w:rPr>
        <w:t>工作纪律，不得</w:t>
      </w:r>
      <w:r>
        <w:rPr>
          <w:rFonts w:hint="eastAsia" w:ascii="宋体" w:hAnsi="宋体" w:eastAsia="宋体"/>
          <w:color w:val="auto"/>
          <w:sz w:val="24"/>
          <w:highlight w:val="none"/>
        </w:rPr>
        <w:t>泄露评审文件</w:t>
      </w:r>
      <w:r>
        <w:rPr>
          <w:rFonts w:ascii="宋体" w:hAnsi="宋体" w:eastAsia="宋体"/>
          <w:color w:val="auto"/>
          <w:sz w:val="24"/>
          <w:highlight w:val="none"/>
        </w:rPr>
        <w:t>、</w:t>
      </w:r>
      <w:r>
        <w:rPr>
          <w:rFonts w:hint="eastAsia" w:ascii="宋体" w:hAnsi="宋体" w:eastAsia="宋体"/>
          <w:color w:val="auto"/>
          <w:sz w:val="24"/>
          <w:highlight w:val="none"/>
        </w:rPr>
        <w:t>评审</w:t>
      </w:r>
      <w:r>
        <w:rPr>
          <w:rFonts w:ascii="宋体" w:hAnsi="宋体" w:eastAsia="宋体"/>
          <w:color w:val="auto"/>
          <w:sz w:val="24"/>
          <w:highlight w:val="none"/>
        </w:rPr>
        <w:t>情况和</w:t>
      </w:r>
      <w:r>
        <w:rPr>
          <w:rFonts w:hint="eastAsia" w:ascii="宋体" w:hAnsi="宋体" w:eastAsia="宋体"/>
          <w:color w:val="auto"/>
          <w:sz w:val="24"/>
          <w:highlight w:val="none"/>
        </w:rPr>
        <w:t>评审</w:t>
      </w:r>
      <w:r>
        <w:rPr>
          <w:rFonts w:ascii="宋体" w:hAnsi="宋体" w:eastAsia="宋体"/>
          <w:color w:val="auto"/>
          <w:sz w:val="24"/>
          <w:highlight w:val="none"/>
        </w:rPr>
        <w:t>中获悉的</w:t>
      </w:r>
      <w:r>
        <w:rPr>
          <w:rFonts w:hint="eastAsia" w:ascii="宋体" w:hAnsi="宋体" w:eastAsia="宋体"/>
          <w:color w:val="auto"/>
          <w:sz w:val="24"/>
          <w:highlight w:val="none"/>
        </w:rPr>
        <w:t>国家秘密、</w:t>
      </w:r>
      <w:r>
        <w:rPr>
          <w:rFonts w:ascii="宋体" w:hAnsi="宋体" w:eastAsia="宋体"/>
          <w:color w:val="auto"/>
          <w:sz w:val="24"/>
          <w:highlight w:val="none"/>
        </w:rPr>
        <w:t>商业秘密。</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7</w:t>
      </w:r>
      <w:r>
        <w:rPr>
          <w:rFonts w:ascii="宋体" w:hAnsi="宋体" w:eastAsia="宋体"/>
          <w:b/>
          <w:color w:val="auto"/>
          <w:sz w:val="24"/>
          <w:highlight w:val="none"/>
        </w:rPr>
        <w:t>.成交结果公告</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为体现“公开、公平、公正”的原则，磋商结束后，</w:t>
      </w:r>
      <w:r>
        <w:rPr>
          <w:rFonts w:hint="eastAsia" w:ascii="宋体" w:hAnsi="宋体"/>
          <w:color w:val="auto"/>
          <w:sz w:val="24"/>
          <w:highlight w:val="none"/>
          <w:lang w:eastAsia="zh-CN"/>
        </w:rPr>
        <w:t>采购人</w:t>
      </w:r>
      <w:r>
        <w:rPr>
          <w:rFonts w:hint="eastAsia" w:ascii="宋体" w:hAnsi="宋体" w:eastAsia="宋体"/>
          <w:color w:val="auto"/>
          <w:sz w:val="24"/>
          <w:highlight w:val="none"/>
        </w:rPr>
        <w:t>将在</w:t>
      </w:r>
      <w:r>
        <w:rPr>
          <w:rFonts w:hint="eastAsia" w:ascii="宋体" w:hAnsi="宋体"/>
          <w:color w:val="auto"/>
          <w:sz w:val="24"/>
          <w:highlight w:val="none"/>
          <w:lang w:eastAsia="zh-CN"/>
        </w:rPr>
        <w:t>池州市第三人民医院官网</w:t>
      </w:r>
      <w:r>
        <w:rPr>
          <w:rFonts w:ascii="宋体" w:hAnsi="宋体" w:eastAsia="宋体"/>
          <w:color w:val="auto"/>
          <w:sz w:val="24"/>
          <w:highlight w:val="none"/>
        </w:rPr>
        <w:t>上发布成交结果公告。</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2</w:t>
      </w:r>
      <w:r>
        <w:rPr>
          <w:rFonts w:hint="eastAsia" w:ascii="宋体" w:hAnsi="宋体" w:eastAsia="宋体"/>
          <w:b/>
          <w:color w:val="auto"/>
          <w:sz w:val="24"/>
          <w:highlight w:val="none"/>
        </w:rPr>
        <w:t>8</w:t>
      </w:r>
      <w:r>
        <w:rPr>
          <w:rFonts w:ascii="宋体" w:hAnsi="宋体" w:eastAsia="宋体"/>
          <w:b/>
          <w:color w:val="auto"/>
          <w:sz w:val="24"/>
          <w:highlight w:val="none"/>
        </w:rPr>
        <w:t>.成交通知书</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8</w:t>
      </w:r>
      <w:r>
        <w:rPr>
          <w:rFonts w:ascii="宋体" w:hAnsi="宋体" w:eastAsia="宋体"/>
          <w:color w:val="auto"/>
          <w:sz w:val="24"/>
          <w:highlight w:val="none"/>
        </w:rPr>
        <w:t>.1发布成交结果公告的同时以</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规定的</w:t>
      </w:r>
      <w:r>
        <w:rPr>
          <w:rFonts w:ascii="宋体" w:hAnsi="宋体" w:eastAsia="宋体"/>
          <w:color w:val="auto"/>
          <w:sz w:val="24"/>
          <w:highlight w:val="none"/>
        </w:rPr>
        <w:t>形式向成交供应商发出成交通知书。</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8</w:t>
      </w:r>
      <w:r>
        <w:rPr>
          <w:rFonts w:ascii="宋体" w:hAnsi="宋体" w:eastAsia="宋体"/>
          <w:color w:val="auto"/>
          <w:sz w:val="24"/>
          <w:highlight w:val="none"/>
        </w:rPr>
        <w:t>.2成交通知书对采购人和成交供应商具有同等法律效力。成交通知书发出以后，采购人改变成交结果或者成交供应商放弃成交资格，应当承担相应的法律责任。</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8</w:t>
      </w:r>
      <w:r>
        <w:rPr>
          <w:rFonts w:ascii="宋体" w:hAnsi="宋体" w:eastAsia="宋体"/>
          <w:color w:val="auto"/>
          <w:sz w:val="24"/>
          <w:highlight w:val="none"/>
        </w:rPr>
        <w:t>.3成交通知书是合同的组成部分。</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29</w:t>
      </w:r>
      <w:r>
        <w:rPr>
          <w:rFonts w:ascii="宋体" w:hAnsi="宋体" w:eastAsia="宋体"/>
          <w:b/>
          <w:color w:val="auto"/>
          <w:sz w:val="24"/>
          <w:highlight w:val="none"/>
        </w:rPr>
        <w:t>.告知</w:t>
      </w:r>
      <w:r>
        <w:rPr>
          <w:rFonts w:hint="eastAsia" w:ascii="宋体" w:hAnsi="宋体" w:eastAsia="宋体"/>
          <w:b/>
          <w:color w:val="auto"/>
          <w:sz w:val="24"/>
          <w:highlight w:val="none"/>
        </w:rPr>
        <w:t>磋商</w:t>
      </w:r>
      <w:r>
        <w:rPr>
          <w:rFonts w:ascii="宋体" w:hAnsi="宋体" w:eastAsia="宋体"/>
          <w:b/>
          <w:color w:val="auto"/>
          <w:sz w:val="24"/>
          <w:highlight w:val="none"/>
        </w:rPr>
        <w:t>结果</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29</w:t>
      </w:r>
      <w:r>
        <w:rPr>
          <w:rFonts w:ascii="宋体" w:hAnsi="宋体" w:eastAsia="宋体"/>
          <w:color w:val="auto"/>
          <w:sz w:val="24"/>
          <w:highlight w:val="none"/>
        </w:rPr>
        <w:t>.1在公告</w:t>
      </w:r>
      <w:r>
        <w:rPr>
          <w:rFonts w:hint="eastAsia" w:ascii="宋体" w:hAnsi="宋体" w:eastAsia="宋体"/>
          <w:color w:val="auto"/>
          <w:sz w:val="24"/>
          <w:highlight w:val="none"/>
        </w:rPr>
        <w:t>成交</w:t>
      </w:r>
      <w:r>
        <w:rPr>
          <w:rFonts w:ascii="宋体" w:hAnsi="宋体" w:eastAsia="宋体"/>
          <w:color w:val="auto"/>
          <w:sz w:val="24"/>
          <w:highlight w:val="none"/>
        </w:rPr>
        <w:t>结果的同时，</w:t>
      </w:r>
      <w:r>
        <w:rPr>
          <w:rFonts w:hint="eastAsia" w:ascii="宋体" w:hAnsi="宋体"/>
          <w:color w:val="auto"/>
          <w:sz w:val="24"/>
          <w:highlight w:val="none"/>
          <w:lang w:eastAsia="zh-CN"/>
        </w:rPr>
        <w:t>采购人</w:t>
      </w:r>
      <w:r>
        <w:rPr>
          <w:rFonts w:ascii="宋体" w:hAnsi="宋体" w:eastAsia="宋体"/>
          <w:color w:val="auto"/>
          <w:sz w:val="24"/>
          <w:highlight w:val="none"/>
        </w:rPr>
        <w:t>同时以</w:t>
      </w:r>
      <w:r>
        <w:rPr>
          <w:rFonts w:hint="eastAsia" w:ascii="宋体" w:hAnsi="宋体" w:eastAsia="宋体"/>
          <w:color w:val="auto"/>
          <w:sz w:val="24"/>
          <w:highlight w:val="none"/>
          <w:u w:val="single"/>
        </w:rPr>
        <w:t>供应商</w:t>
      </w:r>
      <w:r>
        <w:rPr>
          <w:rFonts w:ascii="宋体" w:hAnsi="宋体" w:eastAsia="宋体"/>
          <w:color w:val="auto"/>
          <w:sz w:val="24"/>
          <w:highlight w:val="none"/>
          <w:u w:val="single"/>
        </w:rPr>
        <w:t>须知前附表</w:t>
      </w:r>
      <w:r>
        <w:rPr>
          <w:rFonts w:ascii="宋体" w:hAnsi="宋体" w:eastAsia="宋体"/>
          <w:color w:val="auto"/>
          <w:sz w:val="24"/>
          <w:highlight w:val="none"/>
        </w:rPr>
        <w:t>规定的形式告知未</w:t>
      </w:r>
      <w:r>
        <w:rPr>
          <w:rFonts w:hint="eastAsia" w:ascii="宋体" w:hAnsi="宋体" w:eastAsia="宋体"/>
          <w:color w:val="auto"/>
          <w:sz w:val="24"/>
          <w:highlight w:val="none"/>
        </w:rPr>
        <w:t>成交供应商</w:t>
      </w:r>
      <w:r>
        <w:rPr>
          <w:rFonts w:ascii="宋体" w:hAnsi="宋体" w:eastAsia="宋体"/>
          <w:color w:val="auto"/>
          <w:sz w:val="24"/>
          <w:highlight w:val="none"/>
        </w:rPr>
        <w:t>本人的评审得分和排序。</w:t>
      </w:r>
    </w:p>
    <w:p>
      <w:pPr>
        <w:spacing w:line="360" w:lineRule="auto"/>
        <w:ind w:firstLine="480" w:firstLineChars="200"/>
        <w:rPr>
          <w:rFonts w:ascii="宋体" w:hAnsi="宋体" w:eastAsia="宋体"/>
          <w:color w:val="auto"/>
          <w:sz w:val="24"/>
          <w:highlight w:val="none"/>
        </w:rPr>
      </w:pPr>
      <w:r>
        <w:rPr>
          <w:rFonts w:ascii="宋体" w:hAnsi="宋体" w:eastAsia="宋体"/>
          <w:color w:val="auto"/>
          <w:sz w:val="24"/>
          <w:highlight w:val="none"/>
        </w:rPr>
        <w:t>2</w:t>
      </w:r>
      <w:r>
        <w:rPr>
          <w:rFonts w:hint="eastAsia" w:ascii="宋体" w:hAnsi="宋体" w:eastAsia="宋体"/>
          <w:color w:val="auto"/>
          <w:sz w:val="24"/>
          <w:highlight w:val="none"/>
        </w:rPr>
        <w:t>9</w:t>
      </w:r>
      <w:r>
        <w:rPr>
          <w:rFonts w:ascii="宋体" w:hAnsi="宋体" w:eastAsia="宋体"/>
          <w:color w:val="auto"/>
          <w:sz w:val="24"/>
          <w:highlight w:val="none"/>
        </w:rPr>
        <w:t>.</w:t>
      </w:r>
      <w:r>
        <w:rPr>
          <w:rFonts w:hint="eastAsia" w:ascii="宋体" w:hAnsi="宋体" w:eastAsia="宋体"/>
          <w:color w:val="auto"/>
          <w:sz w:val="24"/>
          <w:highlight w:val="none"/>
        </w:rPr>
        <w:t>2</w:t>
      </w:r>
      <w:r>
        <w:rPr>
          <w:rFonts w:hint="eastAsia" w:ascii="宋体" w:hAnsi="宋体"/>
          <w:color w:val="auto"/>
          <w:sz w:val="24"/>
          <w:highlight w:val="none"/>
          <w:lang w:eastAsia="zh-CN"/>
        </w:rPr>
        <w:t>采购人</w:t>
      </w:r>
      <w:r>
        <w:rPr>
          <w:rFonts w:ascii="宋体" w:hAnsi="宋体" w:eastAsia="宋体"/>
          <w:color w:val="auto"/>
          <w:sz w:val="24"/>
          <w:highlight w:val="none"/>
        </w:rPr>
        <w:t>对未成交的供应商不做未成交原因的解释。</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30</w:t>
      </w:r>
      <w:r>
        <w:rPr>
          <w:rFonts w:ascii="宋体" w:hAnsi="宋体" w:eastAsia="宋体"/>
          <w:b/>
          <w:color w:val="auto"/>
          <w:sz w:val="24"/>
          <w:highlight w:val="none"/>
        </w:rPr>
        <w:t>.履约保证金</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30</w:t>
      </w:r>
      <w:r>
        <w:rPr>
          <w:rFonts w:ascii="宋体" w:hAnsi="宋体" w:eastAsia="宋体"/>
          <w:color w:val="auto"/>
          <w:sz w:val="24"/>
          <w:highlight w:val="none"/>
        </w:rPr>
        <w:t>.1成交供应商应按照</w:t>
      </w:r>
      <w:r>
        <w:rPr>
          <w:rFonts w:ascii="宋体" w:hAnsi="宋体" w:eastAsia="宋体"/>
          <w:color w:val="auto"/>
          <w:sz w:val="24"/>
          <w:highlight w:val="none"/>
          <w:u w:val="single"/>
        </w:rPr>
        <w:t>供应商须知前附表</w:t>
      </w:r>
      <w:r>
        <w:rPr>
          <w:rFonts w:ascii="宋体" w:hAnsi="宋体" w:eastAsia="宋体"/>
          <w:color w:val="auto"/>
          <w:sz w:val="24"/>
          <w:highlight w:val="none"/>
        </w:rPr>
        <w:t>规定</w:t>
      </w:r>
      <w:r>
        <w:rPr>
          <w:rFonts w:hint="eastAsia" w:ascii="宋体" w:hAnsi="宋体" w:eastAsia="宋体"/>
          <w:color w:val="auto"/>
          <w:sz w:val="24"/>
          <w:highlight w:val="none"/>
        </w:rPr>
        <w:t>缴纳</w:t>
      </w:r>
      <w:r>
        <w:rPr>
          <w:rFonts w:ascii="宋体" w:hAnsi="宋体" w:eastAsia="宋体"/>
          <w:color w:val="auto"/>
          <w:sz w:val="24"/>
          <w:highlight w:val="none"/>
        </w:rPr>
        <w:t>履约保证金。</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30</w:t>
      </w:r>
      <w:r>
        <w:rPr>
          <w:rFonts w:ascii="宋体" w:hAnsi="宋体" w:eastAsia="宋体"/>
          <w:color w:val="auto"/>
          <w:sz w:val="24"/>
          <w:highlight w:val="none"/>
        </w:rPr>
        <w:t>.2如果成交供应商没有按照上述履约保证金的规定执行，将视为放弃成交资格。在此情况下，采购人可确定下一成交候选供应商为成交供应商，也可以重新开展采购活动。</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31</w:t>
      </w:r>
      <w:r>
        <w:rPr>
          <w:rFonts w:ascii="宋体" w:hAnsi="宋体" w:eastAsia="宋体"/>
          <w:b/>
          <w:color w:val="auto"/>
          <w:sz w:val="24"/>
          <w:highlight w:val="none"/>
        </w:rPr>
        <w:t>.</w:t>
      </w:r>
      <w:r>
        <w:rPr>
          <w:rFonts w:hint="eastAsia" w:ascii="宋体" w:hAnsi="宋体" w:eastAsia="宋体"/>
          <w:b/>
          <w:color w:val="auto"/>
          <w:sz w:val="24"/>
          <w:highlight w:val="none"/>
        </w:rPr>
        <w:t>成交</w:t>
      </w:r>
      <w:r>
        <w:rPr>
          <w:rFonts w:ascii="宋体" w:hAnsi="宋体" w:eastAsia="宋体"/>
          <w:b/>
          <w:color w:val="auto"/>
          <w:sz w:val="24"/>
          <w:highlight w:val="none"/>
        </w:rPr>
        <w:t>服务费</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31</w:t>
      </w:r>
      <w:r>
        <w:rPr>
          <w:rFonts w:ascii="宋体" w:hAnsi="宋体" w:eastAsia="宋体"/>
          <w:color w:val="auto"/>
          <w:sz w:val="24"/>
          <w:highlight w:val="none"/>
        </w:rPr>
        <w:t>.1本项目</w:t>
      </w:r>
      <w:r>
        <w:rPr>
          <w:rFonts w:hint="eastAsia" w:ascii="宋体" w:hAnsi="宋体" w:eastAsia="宋体"/>
          <w:color w:val="auto"/>
          <w:sz w:val="24"/>
          <w:highlight w:val="none"/>
        </w:rPr>
        <w:t>成交</w:t>
      </w:r>
      <w:r>
        <w:rPr>
          <w:rFonts w:ascii="宋体" w:hAnsi="宋体" w:eastAsia="宋体"/>
          <w:color w:val="auto"/>
          <w:sz w:val="24"/>
          <w:highlight w:val="none"/>
        </w:rPr>
        <w:t>服务费的收取按</w:t>
      </w:r>
      <w:r>
        <w:rPr>
          <w:rFonts w:hint="eastAsia" w:ascii="宋体" w:hAnsi="宋体" w:eastAsia="宋体"/>
          <w:color w:val="auto"/>
          <w:sz w:val="24"/>
          <w:highlight w:val="none"/>
          <w:u w:val="single"/>
        </w:rPr>
        <w:t>供应商</w:t>
      </w:r>
      <w:r>
        <w:rPr>
          <w:rFonts w:ascii="宋体" w:hAnsi="宋体" w:eastAsia="宋体"/>
          <w:color w:val="auto"/>
          <w:sz w:val="24"/>
          <w:highlight w:val="none"/>
          <w:u w:val="single"/>
        </w:rPr>
        <w:t>须知前附表</w:t>
      </w:r>
      <w:r>
        <w:rPr>
          <w:rFonts w:ascii="宋体" w:hAnsi="宋体" w:eastAsia="宋体"/>
          <w:color w:val="auto"/>
          <w:sz w:val="24"/>
          <w:highlight w:val="none"/>
        </w:rPr>
        <w:t>的规定执行。</w:t>
      </w:r>
    </w:p>
    <w:p>
      <w:pPr>
        <w:spacing w:line="360" w:lineRule="auto"/>
        <w:ind w:firstLine="437"/>
        <w:outlineLvl w:val="3"/>
        <w:rPr>
          <w:rFonts w:ascii="宋体" w:hAnsi="宋体" w:eastAsia="宋体"/>
          <w:b/>
          <w:color w:val="auto"/>
          <w:sz w:val="24"/>
          <w:highlight w:val="none"/>
        </w:rPr>
      </w:pPr>
      <w:r>
        <w:rPr>
          <w:rFonts w:hint="eastAsia" w:ascii="宋体" w:hAnsi="宋体" w:eastAsia="宋体"/>
          <w:b/>
          <w:color w:val="auto"/>
          <w:sz w:val="24"/>
          <w:highlight w:val="none"/>
        </w:rPr>
        <w:t>32</w:t>
      </w:r>
      <w:r>
        <w:rPr>
          <w:rFonts w:ascii="宋体" w:hAnsi="宋体" w:eastAsia="宋体"/>
          <w:b/>
          <w:color w:val="auto"/>
          <w:sz w:val="24"/>
          <w:highlight w:val="none"/>
        </w:rPr>
        <w:t>.签订合同</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32</w:t>
      </w:r>
      <w:r>
        <w:rPr>
          <w:rFonts w:ascii="宋体" w:hAnsi="宋体" w:eastAsia="宋体"/>
          <w:color w:val="auto"/>
          <w:sz w:val="24"/>
          <w:highlight w:val="none"/>
        </w:rPr>
        <w:t>.1</w:t>
      </w:r>
      <w:r>
        <w:rPr>
          <w:rFonts w:hint="eastAsia" w:ascii="宋体" w:hAnsi="宋体" w:eastAsia="宋体"/>
          <w:color w:val="auto"/>
          <w:sz w:val="24"/>
          <w:highlight w:val="none"/>
        </w:rPr>
        <w:t>采购人与</w:t>
      </w:r>
      <w:r>
        <w:rPr>
          <w:rFonts w:ascii="宋体" w:hAnsi="宋体" w:eastAsia="宋体"/>
          <w:color w:val="auto"/>
          <w:sz w:val="24"/>
          <w:highlight w:val="none"/>
        </w:rPr>
        <w:t>成交供应商应当自发出成交通知书之日起</w:t>
      </w:r>
      <w:r>
        <w:rPr>
          <w:rFonts w:hint="eastAsia" w:ascii="宋体" w:hAnsi="宋体"/>
          <w:color w:val="auto"/>
          <w:sz w:val="24"/>
          <w:highlight w:val="none"/>
          <w:lang w:val="en-US" w:eastAsia="zh-CN"/>
        </w:rPr>
        <w:t>10</w:t>
      </w:r>
      <w:r>
        <w:rPr>
          <w:rFonts w:hint="eastAsia" w:ascii="宋体" w:hAnsi="宋体" w:eastAsia="宋体"/>
          <w:color w:val="auto"/>
          <w:sz w:val="24"/>
          <w:highlight w:val="none"/>
          <w:lang w:eastAsia="zh-CN"/>
        </w:rPr>
        <w:t>个工作</w:t>
      </w:r>
      <w:r>
        <w:rPr>
          <w:rFonts w:ascii="宋体" w:hAnsi="宋体" w:eastAsia="宋体"/>
          <w:color w:val="auto"/>
          <w:sz w:val="24"/>
          <w:highlight w:val="none"/>
        </w:rPr>
        <w:t>日内签订合同。</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32</w:t>
      </w:r>
      <w:r>
        <w:rPr>
          <w:rFonts w:ascii="宋体" w:hAnsi="宋体" w:eastAsia="宋体"/>
          <w:color w:val="auto"/>
          <w:sz w:val="24"/>
          <w:highlight w:val="none"/>
        </w:rPr>
        <w:t>.2磋商文件、成交供应商的响应文件及其澄清文件等，均为签订合同的依据。</w:t>
      </w:r>
    </w:p>
    <w:p>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32</w:t>
      </w:r>
      <w:r>
        <w:rPr>
          <w:rFonts w:ascii="宋体" w:hAnsi="宋体" w:eastAsia="宋体"/>
          <w:color w:val="auto"/>
          <w:sz w:val="24"/>
          <w:highlight w:val="none"/>
        </w:rPr>
        <w:t>.3成交供应商拒绝与采购人签订合同的，采购人可以按照评审报告推荐的成交候选供应商名单排序，确定下一成交候选供应商为成交供应商，也可以重新开展采购活动。</w:t>
      </w:r>
      <w:r>
        <w:rPr>
          <w:rFonts w:hint="eastAsia" w:ascii="宋体" w:hAnsi="宋体" w:eastAsia="宋体"/>
          <w:color w:val="auto"/>
          <w:sz w:val="24"/>
          <w:highlight w:val="none"/>
        </w:rPr>
        <w:t>成交供应商拒绝签订政府采购合同的不得参加对该项目重新开展的采购活动。</w:t>
      </w:r>
    </w:p>
    <w:p>
      <w:pPr>
        <w:spacing w:line="360" w:lineRule="auto"/>
        <w:ind w:firstLine="470" w:firstLineChars="196"/>
        <w:rPr>
          <w:rFonts w:ascii="宋体" w:hAnsi="宋体" w:eastAsia="宋体"/>
          <w:color w:val="auto"/>
          <w:sz w:val="24"/>
          <w:highlight w:val="none"/>
        </w:rPr>
      </w:pPr>
      <w:r>
        <w:rPr>
          <w:rFonts w:hint="eastAsia" w:ascii="宋体" w:hAnsi="宋体" w:eastAsia="宋体"/>
          <w:color w:val="auto"/>
          <w:sz w:val="24"/>
          <w:highlight w:val="none"/>
        </w:rPr>
        <w:t>32.</w:t>
      </w:r>
      <w:r>
        <w:rPr>
          <w:rFonts w:ascii="宋体" w:hAnsi="宋体" w:eastAsia="宋体"/>
          <w:color w:val="auto"/>
          <w:sz w:val="24"/>
          <w:highlight w:val="none"/>
        </w:rPr>
        <w:t>4</w:t>
      </w:r>
      <w:r>
        <w:rPr>
          <w:rFonts w:hint="eastAsia" w:ascii="宋体" w:hAnsi="宋体" w:eastAsia="宋体"/>
          <w:color w:val="auto"/>
          <w:sz w:val="24"/>
          <w:highlight w:val="none"/>
        </w:rPr>
        <w:t>依据《政府采购促进中小企业发展管理办法》（财库〔</w:t>
      </w:r>
      <w:r>
        <w:rPr>
          <w:rFonts w:ascii="宋体" w:hAnsi="宋体" w:eastAsia="宋体"/>
          <w:color w:val="auto"/>
          <w:sz w:val="24"/>
          <w:highlight w:val="none"/>
        </w:rPr>
        <w:t>2020〕46号</w:t>
      </w:r>
      <w:r>
        <w:rPr>
          <w:rFonts w:hint="eastAsia" w:ascii="宋体" w:hAnsi="宋体" w:eastAsia="宋体"/>
          <w:color w:val="auto"/>
          <w:sz w:val="24"/>
          <w:highlight w:val="none"/>
        </w:rPr>
        <w:t>）规定享受扶持政策获得政府采购合同的，小微企业不得将合同分包给大中型企业，中型企业不得将合同分包给大型企业。</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3</w:t>
      </w:r>
      <w:r>
        <w:rPr>
          <w:rFonts w:hint="eastAsia" w:ascii="宋体" w:hAnsi="宋体" w:eastAsia="宋体"/>
          <w:b/>
          <w:color w:val="auto"/>
          <w:sz w:val="24"/>
          <w:highlight w:val="none"/>
        </w:rPr>
        <w:t>3</w:t>
      </w:r>
      <w:r>
        <w:rPr>
          <w:rFonts w:ascii="宋体" w:hAnsi="宋体" w:eastAsia="宋体"/>
          <w:b/>
          <w:color w:val="auto"/>
          <w:sz w:val="24"/>
          <w:highlight w:val="none"/>
        </w:rPr>
        <w:t>.廉洁自律规定</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rPr>
        <w:t>3</w:t>
      </w:r>
      <w:r>
        <w:rPr>
          <w:rFonts w:ascii="宋体" w:hAnsi="宋体" w:eastAsia="宋体"/>
          <w:color w:val="auto"/>
          <w:sz w:val="24"/>
          <w:highlight w:val="none"/>
        </w:rPr>
        <w:t>.1采购</w:t>
      </w:r>
      <w:r>
        <w:rPr>
          <w:rFonts w:hint="eastAsia" w:ascii="宋体" w:hAnsi="宋体"/>
          <w:color w:val="auto"/>
          <w:sz w:val="24"/>
          <w:highlight w:val="none"/>
          <w:lang w:eastAsia="zh-CN"/>
        </w:rPr>
        <w:t>人不得与</w:t>
      </w:r>
      <w:r>
        <w:rPr>
          <w:rFonts w:ascii="宋体" w:hAnsi="宋体" w:eastAsia="宋体"/>
          <w:color w:val="auto"/>
          <w:sz w:val="24"/>
          <w:highlight w:val="none"/>
        </w:rPr>
        <w:t>供应商恶意串通。</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rPr>
        <w:t>3</w:t>
      </w:r>
      <w:r>
        <w:rPr>
          <w:rFonts w:ascii="宋体" w:hAnsi="宋体" w:eastAsia="宋体"/>
          <w:color w:val="auto"/>
          <w:sz w:val="24"/>
          <w:highlight w:val="none"/>
        </w:rPr>
        <w:t>.2</w:t>
      </w:r>
      <w:r>
        <w:rPr>
          <w:rFonts w:hint="eastAsia" w:ascii="宋体" w:hAnsi="宋体"/>
          <w:color w:val="auto"/>
          <w:sz w:val="24"/>
          <w:highlight w:val="none"/>
          <w:lang w:eastAsia="zh-CN"/>
        </w:rPr>
        <w:t>采购人</w:t>
      </w:r>
      <w:r>
        <w:rPr>
          <w:rFonts w:ascii="宋体" w:hAnsi="宋体" w:eastAsia="宋体"/>
          <w:color w:val="auto"/>
          <w:sz w:val="24"/>
          <w:highlight w:val="none"/>
        </w:rPr>
        <w:t>不得接受供应商组织的宴请、旅游、娱乐，不得收受礼品、现金、有价证券等，不得向供应商报销应当由个人承担的费用。</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3</w:t>
      </w:r>
      <w:r>
        <w:rPr>
          <w:rFonts w:hint="eastAsia" w:ascii="宋体" w:hAnsi="宋体" w:eastAsia="宋体"/>
          <w:b/>
          <w:color w:val="auto"/>
          <w:sz w:val="24"/>
          <w:highlight w:val="none"/>
        </w:rPr>
        <w:t>4</w:t>
      </w:r>
      <w:r>
        <w:rPr>
          <w:rFonts w:ascii="宋体" w:hAnsi="宋体" w:eastAsia="宋体"/>
          <w:b/>
          <w:color w:val="auto"/>
          <w:sz w:val="24"/>
          <w:highlight w:val="none"/>
        </w:rPr>
        <w:t>.质疑的提出与接收</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rPr>
        <w:t>4</w:t>
      </w:r>
      <w:r>
        <w:rPr>
          <w:rFonts w:ascii="宋体" w:hAnsi="宋体" w:eastAsia="宋体"/>
          <w:color w:val="auto"/>
          <w:sz w:val="24"/>
          <w:highlight w:val="none"/>
        </w:rPr>
        <w:t>.1供应商认为磋商文件、采购过程、成交结果使自己的权益受到损害的，可以根据《中华人民共和国政府采购法》、《中华人民共和国政府采购法实施条例》和《政府采购质疑和投诉办法》的有关规定，依法向采购人或其委托的采购代理机构提出质疑。</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rPr>
        <w:t>4</w:t>
      </w:r>
      <w:r>
        <w:rPr>
          <w:rFonts w:ascii="宋体" w:hAnsi="宋体" w:eastAsia="宋体"/>
          <w:color w:val="auto"/>
          <w:sz w:val="24"/>
          <w:highlight w:val="none"/>
        </w:rPr>
        <w:t>.2质疑供应商应按照财政部制定的《政府采购质疑函范本》格式（详见磋商文件第八章）和《政府采购质疑和投诉办法》的要求，在法定质疑期内以</w:t>
      </w:r>
      <w:r>
        <w:rPr>
          <w:rFonts w:hint="eastAsia" w:ascii="宋体" w:hAnsi="宋体" w:eastAsia="宋体"/>
          <w:color w:val="auto"/>
          <w:sz w:val="24"/>
          <w:highlight w:val="none"/>
        </w:rPr>
        <w:t>书面</w:t>
      </w:r>
      <w:r>
        <w:rPr>
          <w:rFonts w:ascii="宋体" w:hAnsi="宋体" w:eastAsia="宋体"/>
          <w:color w:val="auto"/>
          <w:sz w:val="24"/>
          <w:highlight w:val="none"/>
        </w:rPr>
        <w:t>形式提出质疑，</w:t>
      </w:r>
      <w:r>
        <w:rPr>
          <w:rFonts w:hint="eastAsia" w:ascii="宋体" w:hAnsi="宋体" w:eastAsia="宋体"/>
          <w:color w:val="auto"/>
          <w:sz w:val="24"/>
          <w:highlight w:val="none"/>
        </w:rPr>
        <w:t>超出法定质疑期提交的质疑将被拒绝。</w:t>
      </w:r>
      <w:r>
        <w:rPr>
          <w:rFonts w:ascii="宋体" w:hAnsi="宋体" w:eastAsia="宋体"/>
          <w:color w:val="auto"/>
          <w:sz w:val="24"/>
          <w:highlight w:val="none"/>
        </w:rPr>
        <w:t>针对同一采购程序环节的质疑应一次性提出。</w:t>
      </w:r>
    </w:p>
    <w:p>
      <w:pPr>
        <w:spacing w:line="360" w:lineRule="auto"/>
        <w:ind w:firstLine="435"/>
        <w:rPr>
          <w:rFonts w:ascii="宋体" w:hAnsi="宋体" w:eastAsia="宋体"/>
          <w:color w:val="auto"/>
          <w:sz w:val="24"/>
          <w:highlight w:val="none"/>
        </w:rPr>
      </w:pPr>
      <w:r>
        <w:rPr>
          <w:rFonts w:hint="eastAsia" w:ascii="宋体" w:hAnsi="宋体" w:eastAsia="宋体"/>
          <w:color w:val="auto"/>
          <w:sz w:val="24"/>
          <w:highlight w:val="none"/>
        </w:rPr>
        <w:t>超出法定质疑期的、重复提出的、分次提出的或内容、形式不符合《政府采购质疑和投诉办法》的，质疑供应商将依法承担不利后果。</w:t>
      </w:r>
    </w:p>
    <w:p>
      <w:pPr>
        <w:spacing w:line="360" w:lineRule="auto"/>
        <w:ind w:firstLine="435"/>
        <w:rPr>
          <w:rFonts w:ascii="宋体" w:hAnsi="宋体" w:eastAsia="宋体"/>
          <w:color w:val="auto"/>
          <w:sz w:val="24"/>
          <w:highlight w:val="none"/>
        </w:rPr>
      </w:pPr>
      <w:r>
        <w:rPr>
          <w:rFonts w:ascii="宋体" w:hAnsi="宋体" w:eastAsia="宋体"/>
          <w:color w:val="auto"/>
          <w:sz w:val="24"/>
          <w:highlight w:val="none"/>
        </w:rPr>
        <w:t>3</w:t>
      </w:r>
      <w:r>
        <w:rPr>
          <w:rFonts w:hint="eastAsia" w:ascii="宋体" w:hAnsi="宋体" w:eastAsia="宋体"/>
          <w:color w:val="auto"/>
          <w:sz w:val="24"/>
          <w:highlight w:val="none"/>
        </w:rPr>
        <w:t>4</w:t>
      </w:r>
      <w:r>
        <w:rPr>
          <w:rFonts w:ascii="宋体" w:hAnsi="宋体" w:eastAsia="宋体"/>
          <w:color w:val="auto"/>
          <w:sz w:val="24"/>
          <w:highlight w:val="none"/>
        </w:rPr>
        <w:t>.3</w:t>
      </w:r>
      <w:r>
        <w:rPr>
          <w:rFonts w:hint="eastAsia" w:ascii="宋体" w:hAnsi="宋体" w:eastAsia="宋体"/>
          <w:color w:val="auto"/>
          <w:sz w:val="24"/>
          <w:highlight w:val="none"/>
        </w:rPr>
        <w:t>质疑函</w:t>
      </w:r>
      <w:r>
        <w:rPr>
          <w:rFonts w:hint="eastAsia" w:ascii="宋体" w:hAnsi="宋体" w:eastAsia="宋体"/>
          <w:color w:val="auto"/>
          <w:sz w:val="24"/>
          <w:highlight w:val="none"/>
          <w:lang w:val="en-US" w:eastAsia="zh-CN"/>
        </w:rPr>
        <w:t>递交方式</w:t>
      </w:r>
      <w:r>
        <w:rPr>
          <w:rFonts w:ascii="宋体" w:hAnsi="宋体" w:eastAsia="宋体"/>
          <w:color w:val="auto"/>
          <w:sz w:val="24"/>
          <w:highlight w:val="none"/>
        </w:rPr>
        <w:t>见供应商须知前附表。</w:t>
      </w:r>
    </w:p>
    <w:p>
      <w:pPr>
        <w:spacing w:line="360" w:lineRule="auto"/>
        <w:ind w:firstLine="437"/>
        <w:outlineLvl w:val="3"/>
        <w:rPr>
          <w:rFonts w:ascii="宋体" w:hAnsi="宋体" w:eastAsia="宋体"/>
          <w:b/>
          <w:color w:val="auto"/>
          <w:sz w:val="24"/>
          <w:highlight w:val="none"/>
        </w:rPr>
      </w:pPr>
      <w:r>
        <w:rPr>
          <w:rFonts w:ascii="宋体" w:hAnsi="宋体" w:eastAsia="宋体"/>
          <w:b/>
          <w:color w:val="auto"/>
          <w:sz w:val="24"/>
          <w:highlight w:val="none"/>
        </w:rPr>
        <w:t>3</w:t>
      </w:r>
      <w:r>
        <w:rPr>
          <w:rFonts w:hint="eastAsia" w:ascii="宋体" w:hAnsi="宋体" w:eastAsia="宋体"/>
          <w:b/>
          <w:color w:val="auto"/>
          <w:sz w:val="24"/>
          <w:highlight w:val="none"/>
        </w:rPr>
        <w:t>5</w:t>
      </w:r>
      <w:r>
        <w:rPr>
          <w:rFonts w:ascii="宋体" w:hAnsi="宋体" w:eastAsia="宋体"/>
          <w:b/>
          <w:color w:val="auto"/>
          <w:sz w:val="24"/>
          <w:highlight w:val="none"/>
        </w:rPr>
        <w:t>.需要补充的其他内容</w:t>
      </w:r>
    </w:p>
    <w:p>
      <w:pPr>
        <w:ind w:firstLine="480" w:firstLineChars="200"/>
        <w:rPr>
          <w:rFonts w:ascii="仿宋" w:hAnsi="仿宋" w:eastAsia="仿宋"/>
          <w:color w:val="000000" w:themeColor="text1"/>
          <w:sz w:val="28"/>
          <w:szCs w:val="28"/>
          <w14:textFill>
            <w14:solidFill>
              <w14:schemeClr w14:val="tx1"/>
            </w14:solidFill>
          </w14:textFill>
        </w:rPr>
        <w:sectPr>
          <w:footerReference r:id="rId3" w:type="default"/>
          <w:pgSz w:w="11906" w:h="16838"/>
          <w:pgMar w:top="935" w:right="1418" w:bottom="1134" w:left="1418" w:header="851" w:footer="992" w:gutter="0"/>
          <w:pgNumType w:start="1"/>
          <w:cols w:space="720" w:num="1"/>
        </w:sectPr>
      </w:pPr>
      <w:r>
        <w:rPr>
          <w:rFonts w:hint="eastAsia" w:ascii="宋体" w:hAnsi="宋体" w:eastAsia="宋体"/>
          <w:color w:val="auto"/>
          <w:sz w:val="24"/>
          <w:highlight w:val="none"/>
        </w:rPr>
        <w:t>需要补充的其他内容，见</w:t>
      </w:r>
      <w:r>
        <w:rPr>
          <w:rFonts w:hint="eastAsia" w:ascii="宋体" w:hAnsi="宋体" w:eastAsia="宋体"/>
          <w:color w:val="auto"/>
          <w:sz w:val="24"/>
          <w:highlight w:val="none"/>
          <w:u w:val="single"/>
        </w:rPr>
        <w:t>供应商须知前附表</w:t>
      </w:r>
      <w:r>
        <w:rPr>
          <w:rFonts w:hint="eastAsia" w:ascii="宋体" w:hAnsi="宋体" w:eastAsia="宋体"/>
          <w:color w:val="auto"/>
          <w:sz w:val="24"/>
          <w:highlight w:val="none"/>
        </w:rPr>
        <w:t>。</w:t>
      </w:r>
    </w:p>
    <w:p>
      <w:pPr>
        <w:pStyle w:val="4"/>
        <w:rPr>
          <w:rFonts w:ascii="华文中宋" w:hAnsi="华文中宋" w:eastAsia="华文中宋"/>
          <w:b w:val="0"/>
        </w:rPr>
      </w:pPr>
      <w:bookmarkStart w:id="38" w:name="_Toc13758"/>
      <w:bookmarkStart w:id="39" w:name="_Toc357945791"/>
      <w:bookmarkStart w:id="40" w:name="_Toc20687"/>
      <w:bookmarkStart w:id="41" w:name="_Toc368471393"/>
      <w:bookmarkStart w:id="42" w:name="_Toc354501100"/>
      <w:bookmarkStart w:id="43" w:name="_Toc357945893"/>
      <w:bookmarkStart w:id="44" w:name="_Toc354411825"/>
      <w:bookmarkStart w:id="45" w:name="_Toc357510893"/>
      <w:bookmarkStart w:id="46" w:name="_Toc5691"/>
      <w:bookmarkStart w:id="47" w:name="_Toc354411318"/>
      <w:r>
        <w:rPr>
          <w:rFonts w:hint="eastAsia" w:ascii="华文中宋" w:hAnsi="华文中宋" w:eastAsia="华文中宋"/>
          <w:b w:val="0"/>
        </w:rPr>
        <w:t>第</w:t>
      </w:r>
      <w:r>
        <w:rPr>
          <w:rFonts w:hint="eastAsia" w:ascii="华文中宋" w:hAnsi="华文中宋" w:eastAsia="华文中宋"/>
          <w:b w:val="0"/>
          <w:lang w:eastAsia="zh-CN"/>
        </w:rPr>
        <w:t>六</w:t>
      </w:r>
      <w:r>
        <w:rPr>
          <w:rFonts w:hint="eastAsia" w:ascii="华文中宋" w:hAnsi="华文中宋" w:eastAsia="华文中宋"/>
          <w:b w:val="0"/>
        </w:rPr>
        <w:t>章</w:t>
      </w:r>
      <w:bookmarkStart w:id="48" w:name="_Toc15643"/>
      <w:bookmarkStart w:id="49" w:name="_Toc368471394"/>
      <w:r>
        <w:rPr>
          <w:rFonts w:hint="eastAsia" w:ascii="华文中宋" w:hAnsi="华文中宋" w:eastAsia="华文中宋"/>
          <w:b w:val="0"/>
        </w:rPr>
        <w:t xml:space="preserve">  磋商响应文件内容及格式</w:t>
      </w:r>
      <w:bookmarkEnd w:id="38"/>
    </w:p>
    <w:bookmarkEnd w:id="39"/>
    <w:bookmarkEnd w:id="40"/>
    <w:bookmarkEnd w:id="41"/>
    <w:bookmarkEnd w:id="42"/>
    <w:bookmarkEnd w:id="43"/>
    <w:bookmarkEnd w:id="44"/>
    <w:bookmarkEnd w:id="45"/>
    <w:bookmarkEnd w:id="46"/>
    <w:bookmarkEnd w:id="47"/>
    <w:bookmarkEnd w:id="48"/>
    <w:bookmarkEnd w:id="49"/>
    <w:p>
      <w:pPr>
        <w:tabs>
          <w:tab w:val="left" w:pos="7740"/>
        </w:tabs>
        <w:jc w:val="center"/>
        <w:rPr>
          <w:rFonts w:ascii="华文中宋" w:hAnsi="华文中宋" w:eastAsia="华文中宋" w:cs="Arial"/>
          <w:bCs/>
          <w:color w:val="000000" w:themeColor="text1"/>
          <w:sz w:val="44"/>
          <w:szCs w:val="44"/>
          <w14:textFill>
            <w14:solidFill>
              <w14:schemeClr w14:val="tx1"/>
            </w14:solidFill>
          </w14:textFill>
        </w:rPr>
      </w:pPr>
    </w:p>
    <w:p>
      <w:pPr>
        <w:tabs>
          <w:tab w:val="left" w:pos="7740"/>
        </w:tabs>
        <w:jc w:val="center"/>
        <w:rPr>
          <w:rFonts w:ascii="华文中宋" w:hAnsi="华文中宋" w:eastAsia="华文中宋" w:cs="Arial"/>
          <w:bCs/>
          <w:color w:val="000000" w:themeColor="text1"/>
          <w:sz w:val="44"/>
          <w:szCs w:val="44"/>
          <w14:textFill>
            <w14:solidFill>
              <w14:schemeClr w14:val="tx1"/>
            </w14:solidFill>
          </w14:textFill>
        </w:rPr>
      </w:pPr>
    </w:p>
    <w:p>
      <w:pPr>
        <w:tabs>
          <w:tab w:val="left" w:pos="7740"/>
        </w:tabs>
        <w:jc w:val="center"/>
        <w:rPr>
          <w:rFonts w:ascii="华文中宋" w:hAnsi="华文中宋" w:eastAsia="华文中宋" w:cs="Arial"/>
          <w:bCs/>
          <w:color w:val="000000" w:themeColor="text1"/>
          <w:sz w:val="44"/>
          <w:szCs w:val="44"/>
          <w14:textFill>
            <w14:solidFill>
              <w14:schemeClr w14:val="tx1"/>
            </w14:solidFill>
          </w14:textFill>
        </w:rPr>
      </w:pPr>
    </w:p>
    <w:p>
      <w:pPr>
        <w:tabs>
          <w:tab w:val="left" w:pos="7740"/>
        </w:tabs>
        <w:jc w:val="center"/>
        <w:rPr>
          <w:rFonts w:ascii="华文中宋" w:hAnsi="华文中宋" w:eastAsia="华文中宋" w:cs="Arial"/>
          <w:bCs/>
          <w:color w:val="000000" w:themeColor="text1"/>
          <w:sz w:val="44"/>
          <w:szCs w:val="44"/>
          <w14:textFill>
            <w14:solidFill>
              <w14:schemeClr w14:val="tx1"/>
            </w14:solidFill>
          </w14:textFill>
        </w:rPr>
      </w:pPr>
      <w:r>
        <w:rPr>
          <w:rFonts w:hint="eastAsia" w:ascii="华文中宋" w:hAnsi="华文中宋" w:eastAsia="华文中宋" w:cs="Arial"/>
          <w:bCs/>
          <w:color w:val="000000" w:themeColor="text1"/>
          <w:sz w:val="44"/>
          <w:szCs w:val="44"/>
          <w14:textFill>
            <w14:solidFill>
              <w14:schemeClr w14:val="tx1"/>
            </w14:solidFill>
          </w14:textFill>
        </w:rPr>
        <w:t>池州市政府采购</w:t>
      </w:r>
    </w:p>
    <w:p>
      <w:pPr>
        <w:tabs>
          <w:tab w:val="left" w:pos="7740"/>
        </w:tabs>
        <w:jc w:val="center"/>
        <w:rPr>
          <w:rFonts w:ascii="华文中宋" w:hAnsi="华文中宋" w:eastAsia="华文中宋" w:cs="Arial"/>
          <w:bCs/>
          <w:color w:val="000000" w:themeColor="text1"/>
          <w:sz w:val="44"/>
          <w:szCs w:val="44"/>
          <w14:textFill>
            <w14:solidFill>
              <w14:schemeClr w14:val="tx1"/>
            </w14:solidFill>
          </w14:textFill>
        </w:rPr>
      </w:pPr>
      <w:r>
        <w:rPr>
          <w:rFonts w:hint="eastAsia" w:ascii="华文中宋" w:hAnsi="华文中宋" w:eastAsia="华文中宋" w:cs="Arial"/>
          <w:bCs/>
          <w:color w:val="000000" w:themeColor="text1"/>
          <w:sz w:val="44"/>
          <w:szCs w:val="44"/>
          <w14:textFill>
            <w14:solidFill>
              <w14:schemeClr w14:val="tx1"/>
            </w14:solidFill>
          </w14:textFill>
        </w:rPr>
        <w:t>磋商响应文件</w:t>
      </w:r>
    </w:p>
    <w:p>
      <w:pPr>
        <w:jc w:val="center"/>
        <w:rPr>
          <w:rFonts w:ascii="华文中宋" w:hAnsi="华文中宋" w:eastAsia="华文中宋"/>
          <w:color w:val="000000" w:themeColor="text1"/>
          <w:sz w:val="44"/>
          <w:szCs w:val="44"/>
          <w14:textFill>
            <w14:solidFill>
              <w14:schemeClr w14:val="tx1"/>
            </w14:solidFill>
          </w14:textFill>
        </w:rPr>
      </w:pPr>
    </w:p>
    <w:p>
      <w:pPr>
        <w:spacing w:line="600" w:lineRule="exact"/>
        <w:rPr>
          <w:rFonts w:ascii="黑体" w:hAnsi="黑体" w:eastAsia="黑体" w:cs="Arial"/>
          <w:color w:val="000000" w:themeColor="text1"/>
          <w:sz w:val="28"/>
          <w:szCs w:val="28"/>
          <w:u w:val="single"/>
          <w14:textFill>
            <w14:solidFill>
              <w14:schemeClr w14:val="tx1"/>
            </w14:solidFill>
          </w14:textFill>
        </w:rPr>
      </w:pPr>
      <w:r>
        <w:rPr>
          <w:rFonts w:hint="eastAsia" w:ascii="黑体" w:hAnsi="黑体" w:eastAsia="黑体" w:cs="Arial"/>
          <w:color w:val="000000" w:themeColor="text1"/>
          <w:sz w:val="28"/>
          <w:szCs w:val="28"/>
          <w14:textFill>
            <w14:solidFill>
              <w14:schemeClr w14:val="tx1"/>
            </w14:solidFill>
          </w14:textFill>
        </w:rPr>
        <w:t>项目名称：</w:t>
      </w:r>
      <w:r>
        <w:rPr>
          <w:rFonts w:hint="eastAsia" w:ascii="黑体" w:hAnsi="黑体" w:eastAsia="黑体" w:cs="Arial"/>
          <w:color w:val="000000" w:themeColor="text1"/>
          <w:sz w:val="28"/>
          <w:szCs w:val="28"/>
          <w:u w:val="single"/>
          <w14:textFill>
            <w14:solidFill>
              <w14:schemeClr w14:val="tx1"/>
            </w14:solidFill>
          </w14:textFill>
        </w:rPr>
        <w:t xml:space="preserve">          　　　　　　　</w:t>
      </w:r>
    </w:p>
    <w:p>
      <w:pPr>
        <w:spacing w:line="600" w:lineRule="exact"/>
        <w:rPr>
          <w:rFonts w:ascii="黑体" w:hAnsi="黑体" w:eastAsia="黑体" w:cs="Arial"/>
          <w:color w:val="000000" w:themeColor="text1"/>
          <w:sz w:val="28"/>
          <w:szCs w:val="28"/>
          <w:u w:val="single"/>
          <w14:textFill>
            <w14:solidFill>
              <w14:schemeClr w14:val="tx1"/>
            </w14:solidFill>
          </w14:textFill>
        </w:rPr>
      </w:pPr>
    </w:p>
    <w:p>
      <w:pPr>
        <w:spacing w:line="600" w:lineRule="exact"/>
        <w:rPr>
          <w:rFonts w:ascii="黑体" w:hAnsi="黑体" w:eastAsia="黑体" w:cs="Arial"/>
          <w:bCs/>
          <w:color w:val="000000" w:themeColor="text1"/>
          <w:sz w:val="28"/>
          <w:szCs w:val="28"/>
          <w:u w:val="single"/>
          <w14:textFill>
            <w14:solidFill>
              <w14:schemeClr w14:val="tx1"/>
            </w14:solidFill>
          </w14:textFill>
        </w:rPr>
      </w:pPr>
      <w:r>
        <w:rPr>
          <w:rFonts w:hint="eastAsia" w:ascii="黑体" w:hAnsi="黑体" w:eastAsia="黑体" w:cs="Arial"/>
          <w:color w:val="000000" w:themeColor="text1"/>
          <w:sz w:val="28"/>
          <w:szCs w:val="28"/>
          <w14:textFill>
            <w14:solidFill>
              <w14:schemeClr w14:val="tx1"/>
            </w14:solidFill>
          </w14:textFill>
        </w:rPr>
        <w:t>项目</w:t>
      </w:r>
      <w:r>
        <w:rPr>
          <w:rFonts w:ascii="黑体" w:hAnsi="黑体" w:eastAsia="黑体" w:cs="Arial"/>
          <w:color w:val="000000" w:themeColor="text1"/>
          <w:sz w:val="28"/>
          <w:szCs w:val="28"/>
          <w14:textFill>
            <w14:solidFill>
              <w14:schemeClr w14:val="tx1"/>
            </w14:solidFill>
          </w14:textFill>
        </w:rPr>
        <w:t>编号：</w:t>
      </w:r>
      <w:r>
        <w:rPr>
          <w:rFonts w:hint="eastAsia" w:ascii="黑体" w:hAnsi="黑体" w:eastAsia="黑体" w:cs="Arial"/>
          <w:bCs/>
          <w:color w:val="000000" w:themeColor="text1"/>
          <w:sz w:val="28"/>
          <w:szCs w:val="28"/>
          <w:u w:val="single"/>
          <w14:textFill>
            <w14:solidFill>
              <w14:schemeClr w14:val="tx1"/>
            </w14:solidFill>
          </w14:textFill>
        </w:rPr>
        <w:t xml:space="preserve">       　　　 　　　　　　</w:t>
      </w:r>
    </w:p>
    <w:p>
      <w:pPr>
        <w:spacing w:line="600" w:lineRule="exact"/>
        <w:rPr>
          <w:rFonts w:ascii="黑体" w:hAnsi="黑体" w:eastAsia="黑体" w:cs="Arial"/>
          <w:color w:val="000000" w:themeColor="text1"/>
          <w:sz w:val="28"/>
          <w:szCs w:val="28"/>
          <w14:textFill>
            <w14:solidFill>
              <w14:schemeClr w14:val="tx1"/>
            </w14:solidFill>
          </w14:textFill>
        </w:rPr>
      </w:pPr>
      <w:r>
        <w:rPr>
          <w:rFonts w:hint="eastAsia" w:ascii="黑体" w:hAnsi="黑体" w:eastAsia="黑体" w:cs="Arial"/>
          <w:bCs/>
          <w:color w:val="000000" w:themeColor="text1"/>
          <w:sz w:val="28"/>
          <w:szCs w:val="28"/>
          <w14:textFill>
            <w14:solidFill>
              <w14:schemeClr w14:val="tx1"/>
            </w14:solidFill>
          </w14:textFill>
        </w:rPr>
        <w:t xml:space="preserve">                  </w:t>
      </w:r>
    </w:p>
    <w:p>
      <w:pPr>
        <w:spacing w:line="600" w:lineRule="exact"/>
        <w:rPr>
          <w:rFonts w:ascii="黑体" w:hAnsi="黑体" w:eastAsia="黑体" w:cs="Arial"/>
          <w:color w:val="000000" w:themeColor="text1"/>
          <w:sz w:val="28"/>
          <w:szCs w:val="28"/>
          <w14:textFill>
            <w14:solidFill>
              <w14:schemeClr w14:val="tx1"/>
            </w14:solidFill>
          </w14:textFill>
        </w:rPr>
      </w:pPr>
      <w:r>
        <w:rPr>
          <w:rFonts w:hint="eastAsia" w:ascii="黑体" w:hAnsi="黑体" w:eastAsia="黑体" w:cs="Arial"/>
          <w:color w:val="000000" w:themeColor="text1"/>
          <w:sz w:val="28"/>
          <w:szCs w:val="28"/>
          <w14:textFill>
            <w14:solidFill>
              <w14:schemeClr w14:val="tx1"/>
            </w14:solidFill>
          </w14:textFill>
        </w:rPr>
        <w:t>所投包别：</w:t>
      </w:r>
      <w:r>
        <w:rPr>
          <w:rFonts w:hint="eastAsia" w:ascii="黑体" w:hAnsi="黑体" w:eastAsia="黑体" w:cs="Arial"/>
          <w:color w:val="000000" w:themeColor="text1"/>
          <w:sz w:val="28"/>
          <w:szCs w:val="28"/>
          <w:u w:val="single"/>
          <w14:textFill>
            <w14:solidFill>
              <w14:schemeClr w14:val="tx1"/>
            </w14:solidFill>
          </w14:textFill>
        </w:rPr>
        <w:t xml:space="preserve">     </w:t>
      </w:r>
      <w:r>
        <w:rPr>
          <w:rFonts w:hint="eastAsia" w:ascii="黑体" w:hAnsi="黑体" w:eastAsia="黑体" w:cs="Arial"/>
          <w:color w:val="000000" w:themeColor="text1"/>
          <w:sz w:val="28"/>
          <w:szCs w:val="28"/>
          <w14:textFill>
            <w14:solidFill>
              <w14:schemeClr w14:val="tx1"/>
            </w14:solidFill>
          </w14:textFill>
        </w:rPr>
        <w:t xml:space="preserve"> 包 （项目不分包，则删除不填）</w:t>
      </w:r>
    </w:p>
    <w:p>
      <w:pPr>
        <w:spacing w:line="600" w:lineRule="exact"/>
        <w:ind w:firstLine="630" w:firstLineChars="225"/>
        <w:jc w:val="center"/>
        <w:rPr>
          <w:rFonts w:ascii="黑体" w:hAnsi="黑体" w:eastAsia="黑体" w:cs="Arial"/>
          <w:color w:val="000000" w:themeColor="text1"/>
          <w:sz w:val="28"/>
          <w:szCs w:val="28"/>
          <w14:textFill>
            <w14:solidFill>
              <w14:schemeClr w14:val="tx1"/>
            </w14:solidFill>
          </w14:textFill>
        </w:rPr>
      </w:pPr>
    </w:p>
    <w:p>
      <w:pPr>
        <w:spacing w:line="600" w:lineRule="exact"/>
        <w:rPr>
          <w:rFonts w:ascii="黑体" w:hAnsi="黑体" w:eastAsia="黑体" w:cs="Arial"/>
          <w:color w:val="000000" w:themeColor="text1"/>
          <w:sz w:val="28"/>
          <w:szCs w:val="28"/>
          <w14:textFill>
            <w14:solidFill>
              <w14:schemeClr w14:val="tx1"/>
            </w14:solidFill>
          </w14:textFill>
        </w:rPr>
      </w:pPr>
      <w:r>
        <w:rPr>
          <w:rFonts w:hint="eastAsia" w:ascii="黑体" w:hAnsi="黑体" w:eastAsia="黑体" w:cs="Arial"/>
          <w:color w:val="000000" w:themeColor="text1"/>
          <w:sz w:val="28"/>
          <w:szCs w:val="28"/>
          <w14:textFill>
            <w14:solidFill>
              <w14:schemeClr w14:val="tx1"/>
            </w14:solidFill>
          </w14:textFill>
        </w:rPr>
        <w:t>供应商电子签章：</w:t>
      </w:r>
      <w:r>
        <w:rPr>
          <w:rFonts w:hint="eastAsia" w:ascii="黑体" w:hAnsi="黑体" w:eastAsia="黑体" w:cs="Arial"/>
          <w:color w:val="000000" w:themeColor="text1"/>
          <w:sz w:val="28"/>
          <w:szCs w:val="28"/>
          <w:u w:val="single"/>
          <w14:textFill>
            <w14:solidFill>
              <w14:schemeClr w14:val="tx1"/>
            </w14:solidFill>
          </w14:textFill>
        </w:rPr>
        <w:t xml:space="preserve">                          </w:t>
      </w:r>
    </w:p>
    <w:p>
      <w:pPr>
        <w:spacing w:line="600" w:lineRule="exact"/>
        <w:rPr>
          <w:rFonts w:ascii="黑体" w:hAnsi="黑体" w:eastAsia="黑体" w:cs="Arial"/>
          <w:color w:val="000000" w:themeColor="text1"/>
          <w:sz w:val="28"/>
          <w:szCs w:val="28"/>
          <w14:textFill>
            <w14:solidFill>
              <w14:schemeClr w14:val="tx1"/>
            </w14:solidFill>
          </w14:textFill>
        </w:rPr>
      </w:pPr>
    </w:p>
    <w:p>
      <w:pPr>
        <w:spacing w:line="600" w:lineRule="exact"/>
        <w:jc w:val="center"/>
        <w:rPr>
          <w:rFonts w:ascii="黑体" w:hAnsi="黑体" w:eastAsia="黑体" w:cs="Arial"/>
          <w:color w:val="000000" w:themeColor="text1"/>
          <w:sz w:val="28"/>
          <w:szCs w:val="28"/>
          <w14:textFill>
            <w14:solidFill>
              <w14:schemeClr w14:val="tx1"/>
            </w14:solidFill>
          </w14:textFill>
        </w:rPr>
      </w:pPr>
    </w:p>
    <w:p>
      <w:pPr>
        <w:spacing w:line="600" w:lineRule="exact"/>
        <w:jc w:val="center"/>
        <w:rPr>
          <w:rFonts w:ascii="黑体" w:hAnsi="黑体" w:eastAsia="黑体" w:cs="Arial"/>
          <w:color w:val="000000" w:themeColor="text1"/>
          <w:sz w:val="28"/>
          <w:szCs w:val="28"/>
          <w14:textFill>
            <w14:solidFill>
              <w14:schemeClr w14:val="tx1"/>
            </w14:solidFill>
          </w14:textFill>
        </w:rPr>
      </w:pPr>
      <w:r>
        <w:rPr>
          <w:rFonts w:hint="eastAsia" w:ascii="黑体" w:hAnsi="黑体" w:eastAsia="黑体" w:cs="Arial"/>
          <w:color w:val="000000" w:themeColor="text1"/>
          <w:sz w:val="28"/>
          <w:szCs w:val="28"/>
          <w14:textFill>
            <w14:solidFill>
              <w14:schemeClr w14:val="tx1"/>
            </w14:solidFill>
          </w14:textFill>
        </w:rPr>
        <w:t>日期：</w:t>
      </w:r>
      <w:r>
        <w:rPr>
          <w:rFonts w:hint="eastAsia" w:ascii="黑体" w:hAnsi="黑体" w:eastAsia="黑体" w:cs="Arial"/>
          <w:color w:val="000000" w:themeColor="text1"/>
          <w:sz w:val="28"/>
          <w:szCs w:val="28"/>
          <w:u w:val="single"/>
          <w14:textFill>
            <w14:solidFill>
              <w14:schemeClr w14:val="tx1"/>
            </w14:solidFill>
          </w14:textFill>
        </w:rPr>
        <w:t>　　</w:t>
      </w:r>
      <w:r>
        <w:rPr>
          <w:rFonts w:ascii="黑体" w:hAnsi="黑体" w:eastAsia="黑体" w:cs="Arial"/>
          <w:color w:val="000000" w:themeColor="text1"/>
          <w:sz w:val="28"/>
          <w:szCs w:val="28"/>
          <w14:textFill>
            <w14:solidFill>
              <w14:schemeClr w14:val="tx1"/>
            </w14:solidFill>
          </w14:textFill>
        </w:rPr>
        <w:t>年</w:t>
      </w:r>
      <w:r>
        <w:rPr>
          <w:rFonts w:ascii="黑体" w:hAnsi="黑体" w:eastAsia="黑体" w:cs="Arial"/>
          <w:color w:val="000000" w:themeColor="text1"/>
          <w:sz w:val="28"/>
          <w:szCs w:val="28"/>
          <w:u w:val="single"/>
          <w14:textFill>
            <w14:solidFill>
              <w14:schemeClr w14:val="tx1"/>
            </w14:solidFill>
          </w14:textFill>
        </w:rPr>
        <w:t xml:space="preserve">   </w:t>
      </w:r>
      <w:r>
        <w:rPr>
          <w:rFonts w:ascii="黑体" w:hAnsi="黑体" w:eastAsia="黑体" w:cs="Arial"/>
          <w:color w:val="000000" w:themeColor="text1"/>
          <w:sz w:val="28"/>
          <w:szCs w:val="28"/>
          <w14:textFill>
            <w14:solidFill>
              <w14:schemeClr w14:val="tx1"/>
            </w14:solidFill>
          </w14:textFill>
        </w:rPr>
        <w:t>月</w:t>
      </w:r>
      <w:r>
        <w:rPr>
          <w:rFonts w:ascii="黑体" w:hAnsi="黑体" w:eastAsia="黑体" w:cs="Arial"/>
          <w:color w:val="000000" w:themeColor="text1"/>
          <w:sz w:val="28"/>
          <w:szCs w:val="28"/>
          <w:u w:val="single"/>
          <w14:textFill>
            <w14:solidFill>
              <w14:schemeClr w14:val="tx1"/>
            </w14:solidFill>
          </w14:textFill>
        </w:rPr>
        <w:t xml:space="preserve">   </w:t>
      </w:r>
      <w:r>
        <w:rPr>
          <w:rFonts w:ascii="黑体" w:hAnsi="黑体" w:eastAsia="黑体" w:cs="Arial"/>
          <w:color w:val="000000" w:themeColor="text1"/>
          <w:sz w:val="28"/>
          <w:szCs w:val="28"/>
          <w14:textFill>
            <w14:solidFill>
              <w14:schemeClr w14:val="tx1"/>
            </w14:solidFill>
          </w14:textFill>
        </w:rPr>
        <w:t>日</w:t>
      </w:r>
    </w:p>
    <w:p>
      <w:pPr>
        <w:jc w:val="cente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br w:type="page"/>
      </w:r>
      <w:bookmarkStart w:id="50" w:name="_Toc498679477"/>
      <w:bookmarkStart w:id="51" w:name="_Toc491957973"/>
      <w:bookmarkStart w:id="52" w:name="_Toc468089316"/>
      <w:bookmarkStart w:id="53" w:name="_Toc7000"/>
      <w:bookmarkStart w:id="54" w:name="_Toc29328"/>
      <w:bookmarkStart w:id="55" w:name="_Toc457574341"/>
    </w:p>
    <w:p>
      <w:pPr>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目  录</w:t>
      </w:r>
    </w:p>
    <w:p>
      <w:pPr>
        <w:jc w:val="center"/>
        <w:rPr>
          <w:rFonts w:ascii="仿宋" w:hAnsi="仿宋" w:eastAsia="仿宋"/>
          <w:i/>
          <w:color w:val="000000" w:themeColor="text1"/>
          <w:sz w:val="28"/>
          <w:szCs w:val="28"/>
          <w14:textFill>
            <w14:solidFill>
              <w14:schemeClr w14:val="tx1"/>
            </w14:solidFill>
          </w14:textFill>
        </w:rPr>
      </w:pPr>
      <w:r>
        <w:rPr>
          <w:rFonts w:hint="eastAsia" w:ascii="仿宋" w:hAnsi="仿宋" w:eastAsia="仿宋"/>
          <w:i/>
          <w:color w:val="000000" w:themeColor="text1"/>
          <w:sz w:val="28"/>
          <w:szCs w:val="28"/>
          <w14:textFill>
            <w14:solidFill>
              <w14:schemeClr w14:val="tx1"/>
            </w14:solidFill>
          </w14:textFill>
        </w:rPr>
        <w:t>（注：供应商自行填列响应文件页码，以便磋商小组评审）</w:t>
      </w:r>
    </w:p>
    <w:p>
      <w:pPr>
        <w:pStyle w:val="31"/>
        <w:tabs>
          <w:tab w:val="right" w:leader="dot" w:pos="9070"/>
        </w:tabs>
        <w:spacing w:line="360" w:lineRule="auto"/>
        <w:rPr>
          <w:rStyle w:val="42"/>
          <w:rFonts w:ascii="仿宋" w:hAnsi="仿宋" w:eastAsia="仿宋" w:cs="宋体"/>
          <w:color w:val="000000" w:themeColor="text1"/>
          <w:sz w:val="28"/>
          <w:szCs w:val="28"/>
          <w:u w:val="none"/>
          <w:shd w:val="pct10" w:color="auto" w:fill="FFFFFF"/>
          <w14:textFill>
            <w14:solidFill>
              <w14:schemeClr w14:val="tx1"/>
            </w14:solidFill>
          </w14:textFill>
        </w:rPr>
      </w:pPr>
      <w:r>
        <w:rPr>
          <w:rStyle w:val="42"/>
          <w:rFonts w:ascii="仿宋" w:hAnsi="仿宋" w:eastAsia="仿宋" w:cs="宋体"/>
          <w:color w:val="000000" w:themeColor="text1"/>
          <w:sz w:val="28"/>
          <w:szCs w:val="28"/>
          <w:u w:val="none"/>
          <w:shd w:val="pct10" w:color="auto" w:fill="FFFFFF"/>
          <w14:textFill>
            <w14:solidFill>
              <w14:schemeClr w14:val="tx1"/>
            </w14:solidFill>
          </w14:textFill>
        </w:rPr>
        <w:fldChar w:fldCharType="begin" w:fldLock="1"/>
      </w:r>
      <w:r>
        <w:rPr>
          <w:rStyle w:val="42"/>
          <w:rFonts w:hint="eastAsia" w:ascii="仿宋" w:hAnsi="仿宋" w:eastAsia="仿宋"/>
          <w:color w:val="000000" w:themeColor="text1"/>
          <w:sz w:val="28"/>
          <w:szCs w:val="28"/>
          <w:u w:val="none"/>
          <w:shd w:val="pct10" w:color="auto" w:fill="FFFFFF"/>
          <w14:textFill>
            <w14:solidFill>
              <w14:schemeClr w14:val="tx1"/>
            </w14:solidFill>
          </w14:textFill>
        </w:rPr>
        <w:instrText xml:space="preserve"> TOC \o "1-4" \h \z \u </w:instrText>
      </w:r>
      <w:r>
        <w:rPr>
          <w:rStyle w:val="42"/>
          <w:rFonts w:ascii="仿宋" w:hAnsi="仿宋" w:eastAsia="仿宋" w:cs="宋体"/>
          <w:color w:val="000000" w:themeColor="text1"/>
          <w:sz w:val="28"/>
          <w:szCs w:val="28"/>
          <w:u w:val="none"/>
          <w:shd w:val="pct10" w:color="auto" w:fill="FFFFFF"/>
          <w14:textFill>
            <w14:solidFill>
              <w14:schemeClr w14:val="tx1"/>
            </w14:solidFill>
          </w14:textFill>
        </w:rPr>
        <w:fldChar w:fldCharType="separate"/>
      </w:r>
      <w:r>
        <w:fldChar w:fldCharType="begin"/>
      </w:r>
      <w:r>
        <w:instrText xml:space="preserve"> HYPERLINK "file:///C:\\Users\\admin\\Desktop\\招标项目吴雄光\\2018年项目\\Documents\\tencent%20files\\1530687085\\Desktop\\光伏项目1.doc" \l "_Toc26295"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一、报价表</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Style w:val="42"/>
          <w:rFonts w:ascii="仿宋" w:hAnsi="仿宋" w:eastAsia="仿宋" w:cs="宋体"/>
          <w:color w:val="000000" w:themeColor="text1"/>
          <w:sz w:val="28"/>
          <w:szCs w:val="28"/>
          <w:u w:val="none"/>
          <w:shd w:val="pct10" w:color="auto" w:fill="FFFFFF"/>
          <w14:textFill>
            <w14:solidFill>
              <w14:schemeClr w14:val="tx1"/>
            </w14:solidFill>
          </w14:textFill>
        </w:rPr>
      </w:pPr>
      <w:r>
        <w:fldChar w:fldCharType="begin"/>
      </w:r>
      <w:r>
        <w:instrText xml:space="preserve"> HYPERLINK "file:///C:\\Users\\admin\\Desktop\\招标项目吴雄光\\2018年项目\\Documents\\tencent%20files\\1530687085\\Desktop\\光伏项目1.doc" \l "_Toc26295"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1、首轮报价表</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Style w:val="42"/>
          <w:rFonts w:ascii="仿宋" w:hAnsi="仿宋" w:eastAsia="仿宋" w:cs="宋体"/>
          <w:color w:val="000000" w:themeColor="text1"/>
          <w:sz w:val="28"/>
          <w:szCs w:val="28"/>
          <w:u w:val="none"/>
          <w:shd w:val="pct10" w:color="auto" w:fill="FFFFFF"/>
          <w14:textFill>
            <w14:solidFill>
              <w14:schemeClr w14:val="tx1"/>
            </w14:solidFill>
          </w14:textFill>
        </w:rPr>
      </w:pPr>
      <w:r>
        <w:fldChar w:fldCharType="begin"/>
      </w:r>
      <w:r>
        <w:instrText xml:space="preserve"> HYPERLINK "file:///C:\\Users\\admin\\Desktop\\招标项目吴雄光\\2018年项目\\Documents\\tencent%20files\\1530687085\\Desktop\\光伏项目1.doc" \l "_Toc26295"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2、分项报价明细表</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Style w:val="42"/>
          <w:rFonts w:ascii="仿宋" w:hAnsi="仿宋" w:eastAsia="仿宋" w:cs="宋体"/>
          <w:color w:val="000000" w:themeColor="text1"/>
          <w:sz w:val="28"/>
          <w:szCs w:val="28"/>
          <w:u w:val="none"/>
          <w:shd w:val="pct10" w:color="auto" w:fill="FFFFFF"/>
          <w14:textFill>
            <w14:solidFill>
              <w14:schemeClr w14:val="tx1"/>
            </w14:solidFill>
          </w14:textFill>
        </w:rPr>
      </w:pPr>
      <w:r>
        <w:fldChar w:fldCharType="begin"/>
      </w:r>
      <w:r>
        <w:instrText xml:space="preserve"> HYPERLINK "file:///C:\\Users\\admin\\Desktop\\招标项目吴雄光\\2018年项目\\Documents\\tencent%20files\\1530687085\\Desktop\\光伏项目1.doc" \l "_Toc26295"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二、最终承诺报价表</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Style w:val="42"/>
          <w:rFonts w:ascii="仿宋" w:hAnsi="仿宋" w:eastAsia="仿宋"/>
          <w:color w:val="000000" w:themeColor="text1"/>
          <w:sz w:val="28"/>
          <w:szCs w:val="28"/>
          <w:u w:val="none"/>
          <w14:textFill>
            <w14:solidFill>
              <w14:schemeClr w14:val="tx1"/>
            </w14:solidFill>
          </w14:textFill>
        </w:rPr>
      </w:pPr>
      <w:r>
        <w:fldChar w:fldCharType="begin"/>
      </w:r>
      <w:r>
        <w:instrText xml:space="preserve"> HYPERLINK "file:///C:\\Users\\admin\\Desktop\\招标项目吴雄光\\2018年项目\\Documents\\tencent%20files\\1530687085\\Desktop\\光伏项目1.doc" \l "_Toc23063"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三、磋商响应函</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Fonts w:ascii="仿宋" w:hAnsi="仿宋" w:eastAsia="仿宋"/>
          <w:color w:val="000000" w:themeColor="text1"/>
          <w:sz w:val="28"/>
          <w:szCs w:val="28"/>
          <w14:textFill>
            <w14:solidFill>
              <w14:schemeClr w14:val="tx1"/>
            </w14:solidFill>
          </w14:textFill>
        </w:rPr>
      </w:pPr>
      <w:r>
        <w:fldChar w:fldCharType="begin"/>
      </w:r>
      <w:r>
        <w:instrText xml:space="preserve"> HYPERLINK "file:///C:\\Users\\admin\\Desktop\\招标项目吴雄光\\2018年项目\\Documents\\tencent%20files\\1530687085\\Desktop\\光伏项目1.doc" \l "_Toc23063" </w:instrText>
      </w:r>
      <w:r>
        <w:fldChar w:fldCharType="separate"/>
      </w:r>
      <w:r>
        <w:rPr>
          <w:rFonts w:hint="eastAsia" w:ascii="仿宋" w:hAnsi="仿宋" w:eastAsia="仿宋"/>
          <w:color w:val="000000" w:themeColor="text1"/>
          <w:sz w:val="28"/>
          <w:szCs w:val="28"/>
          <w14:textFill>
            <w14:solidFill>
              <w14:schemeClr w14:val="tx1"/>
            </w14:solidFill>
          </w14:textFill>
        </w:rPr>
        <w:t>四</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w:t>
      </w:r>
      <w:r>
        <w:rPr>
          <w:rFonts w:hint="eastAsia" w:ascii="仿宋" w:hAnsi="仿宋" w:eastAsia="仿宋"/>
          <w:color w:val="000000" w:themeColor="text1"/>
          <w:sz w:val="28"/>
          <w:szCs w:val="28"/>
          <w14:textFill>
            <w14:solidFill>
              <w14:schemeClr w14:val="tx1"/>
            </w14:solidFill>
          </w14:textFill>
        </w:rPr>
        <w:t>池州市政府采购供应商信用承诺书</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Style w:val="42"/>
          <w:rFonts w:ascii="仿宋" w:hAnsi="仿宋" w:eastAsia="仿宋"/>
          <w:color w:val="000000" w:themeColor="text1"/>
          <w:sz w:val="28"/>
          <w:szCs w:val="28"/>
          <w:u w:val="none"/>
          <w14:textFill>
            <w14:solidFill>
              <w14:schemeClr w14:val="tx1"/>
            </w14:solidFill>
          </w14:textFill>
        </w:rPr>
      </w:pPr>
      <w:r>
        <w:fldChar w:fldCharType="begin"/>
      </w:r>
      <w:r>
        <w:instrText xml:space="preserve"> HYPERLINK "file:///C:\\Users\\admin\\Desktop\\招标项目吴雄光\\2018年项目\\Documents\\tencent%20files\\1530687085\\Desktop\\光伏项目1.doc" \l "_Toc7214"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五、无重大违法记录声明函、无不良信用记录声明函</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Style w:val="42"/>
          <w:rFonts w:ascii="仿宋" w:hAnsi="仿宋" w:eastAsia="仿宋"/>
          <w:color w:val="000000" w:themeColor="text1"/>
          <w:sz w:val="28"/>
          <w:szCs w:val="28"/>
          <w:u w:val="none"/>
          <w14:textFill>
            <w14:solidFill>
              <w14:schemeClr w14:val="tx1"/>
            </w14:solidFill>
          </w14:textFill>
        </w:rPr>
      </w:pPr>
      <w:r>
        <w:fldChar w:fldCharType="begin"/>
      </w:r>
      <w:r>
        <w:instrText xml:space="preserve"> HYPERLINK "file:///C:\\Users\\admin\\Desktop\\招标项目吴雄光\\2018年项目\\Documents\\tencent%20files\\1530687085\\Desktop\\光伏项目1.doc" \l "_Toc22347"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六、授权书</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ascii="仿宋" w:hAnsi="仿宋" w:eastAsia="仿宋" w:cs="宋体"/>
          <w:color w:val="000000" w:themeColor="text1"/>
          <w:sz w:val="28"/>
          <w:szCs w:val="28"/>
          <w:u w:val="none"/>
          <w:shd w:val="pct10" w:color="auto" w:fill="FFFFFF"/>
          <w14:textFill>
            <w14:solidFill>
              <w14:schemeClr w14:val="tx1"/>
            </w14:solidFill>
          </w14:textFill>
        </w:rPr>
        <w:fldChar w:fldCharType="begin" w:fldLock="1"/>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instrText xml:space="preserve"> PAGEREF _Toc22347 </w:instrText>
      </w:r>
      <w:r>
        <w:rPr>
          <w:rStyle w:val="42"/>
          <w:rFonts w:ascii="仿宋" w:hAnsi="仿宋" w:eastAsia="仿宋" w:cs="宋体"/>
          <w:color w:val="000000" w:themeColor="text1"/>
          <w:sz w:val="28"/>
          <w:szCs w:val="28"/>
          <w:u w:val="none"/>
          <w:shd w:val="pct10" w:color="auto" w:fill="FFFFFF"/>
          <w14:textFill>
            <w14:solidFill>
              <w14:schemeClr w14:val="tx1"/>
            </w14:solidFill>
          </w14:textFill>
        </w:rPr>
        <w:fldChar w:fldCharType="end"/>
      </w:r>
      <w:r>
        <w:rPr>
          <w:rStyle w:val="42"/>
          <w:rFonts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Style w:val="42"/>
          <w:rFonts w:ascii="仿宋" w:hAnsi="仿宋" w:eastAsia="仿宋"/>
          <w:color w:val="000000" w:themeColor="text1"/>
          <w:sz w:val="28"/>
          <w:szCs w:val="28"/>
          <w:u w:val="none"/>
          <w14:textFill>
            <w14:solidFill>
              <w14:schemeClr w14:val="tx1"/>
            </w14:solidFill>
          </w14:textFill>
        </w:rPr>
      </w:pPr>
      <w:r>
        <w:fldChar w:fldCharType="begin"/>
      </w:r>
      <w:r>
        <w:instrText xml:space="preserve"> HYPERLINK "file:///C:\\Users\\admin\\Desktop\\招标项目吴雄光\\2018年项目\\Documents\\tencent%20files\\1530687085\\Desktop\\光伏项目1.doc" \l "_Toc27581"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七、磋商响应表</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Style w:val="42"/>
          <w:rFonts w:ascii="仿宋" w:hAnsi="仿宋" w:eastAsia="仿宋"/>
          <w:color w:val="000000" w:themeColor="text1"/>
          <w:sz w:val="28"/>
          <w:szCs w:val="28"/>
          <w:u w:val="none"/>
          <w:shd w:val="pct10" w:color="auto" w:fill="FFFFFF"/>
          <w14:textFill>
            <w14:solidFill>
              <w14:schemeClr w14:val="tx1"/>
            </w14:solidFill>
          </w14:textFill>
        </w:rPr>
      </w:pPr>
      <w:r>
        <w:fldChar w:fldCharType="begin"/>
      </w:r>
      <w:r>
        <w:instrText xml:space="preserve"> HYPERLINK "file:///C:\\Users\\admin\\Desktop\\招标项目吴雄光\\2018年项目\\Documents\\tencent%20files\\1530687085\\Desktop\\光伏项目1.doc" \l "_Toc23604"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八、磋商业绩承诺函</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Style w:val="42"/>
          <w:rFonts w:ascii="仿宋" w:hAnsi="仿宋" w:eastAsia="仿宋" w:cs="宋体"/>
          <w:color w:val="000000" w:themeColor="text1"/>
          <w:sz w:val="28"/>
          <w:szCs w:val="28"/>
          <w:u w:val="none"/>
          <w:shd w:val="pct10" w:color="auto" w:fill="FFFFFF"/>
          <w14:textFill>
            <w14:solidFill>
              <w14:schemeClr w14:val="tx1"/>
            </w14:solidFill>
          </w14:textFill>
        </w:rPr>
      </w:pPr>
      <w:r>
        <w:fldChar w:fldCharType="begin"/>
      </w:r>
      <w:r>
        <w:instrText xml:space="preserve"> HYPERLINK "file:///C:\\Users\\admin\\Desktop\\招标项目吴雄光\\2018年项目\\Documents\\tencent%20files\\1530687085\\Desktop\\光伏项目1.doc" \l "_Toc26295"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九、评分材料</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Style w:val="42"/>
          <w:rFonts w:ascii="仿宋" w:hAnsi="仿宋" w:eastAsia="仿宋"/>
          <w:color w:val="000000" w:themeColor="text1"/>
          <w:sz w:val="28"/>
          <w:szCs w:val="28"/>
          <w:u w:val="none"/>
          <w14:textFill>
            <w14:solidFill>
              <w14:schemeClr w14:val="tx1"/>
            </w14:solidFill>
          </w14:textFill>
        </w:rPr>
      </w:pPr>
      <w:r>
        <w:fldChar w:fldCharType="begin"/>
      </w:r>
      <w:r>
        <w:instrText xml:space="preserve"> HYPERLINK "file:///C:\\Users\\admin\\Desktop\\招标项目吴雄光\\2018年项目\\Documents\\tencent%20files\\1530687085\\Desktop\\光伏项目1.doc" \l "_Toc22347"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十、主要成交标的承诺函</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ascii="仿宋" w:hAnsi="仿宋" w:eastAsia="仿宋" w:cs="宋体"/>
          <w:color w:val="000000" w:themeColor="text1"/>
          <w:sz w:val="28"/>
          <w:szCs w:val="28"/>
          <w:u w:val="none"/>
          <w:shd w:val="pct10" w:color="auto" w:fill="FFFFFF"/>
          <w14:textFill>
            <w14:solidFill>
              <w14:schemeClr w14:val="tx1"/>
            </w14:solidFill>
          </w14:textFill>
        </w:rPr>
        <w:fldChar w:fldCharType="begin" w:fldLock="1"/>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instrText xml:space="preserve"> PAGEREF _Toc22347 </w:instrText>
      </w:r>
      <w:r>
        <w:rPr>
          <w:rStyle w:val="42"/>
          <w:rFonts w:ascii="仿宋" w:hAnsi="仿宋" w:eastAsia="仿宋" w:cs="宋体"/>
          <w:color w:val="000000" w:themeColor="text1"/>
          <w:sz w:val="28"/>
          <w:szCs w:val="28"/>
          <w:u w:val="none"/>
          <w:shd w:val="pct10" w:color="auto" w:fill="FFFFFF"/>
          <w14:textFill>
            <w14:solidFill>
              <w14:schemeClr w14:val="tx1"/>
            </w14:solidFill>
          </w14:textFill>
        </w:rPr>
        <w:fldChar w:fldCharType="end"/>
      </w:r>
      <w:r>
        <w:rPr>
          <w:rStyle w:val="42"/>
          <w:rFonts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Style w:val="42"/>
          <w:rFonts w:ascii="仿宋" w:hAnsi="仿宋" w:eastAsia="仿宋"/>
          <w:color w:val="000000" w:themeColor="text1"/>
          <w:sz w:val="28"/>
          <w:szCs w:val="28"/>
          <w:u w:val="none"/>
          <w:shd w:val="pct10" w:color="auto" w:fill="FFFFFF"/>
          <w14:textFill>
            <w14:solidFill>
              <w14:schemeClr w14:val="tx1"/>
            </w14:solidFill>
          </w14:textFill>
        </w:rPr>
      </w:pPr>
      <w:r>
        <w:fldChar w:fldCharType="begin"/>
      </w:r>
      <w:r>
        <w:instrText xml:space="preserve"> HYPERLINK "file:///C:\\Users\\admin\\Desktop\\招标项目吴雄光\\2018年项目\\Documents\\tencent%20files\\1530687085\\Desktop\\光伏项目1.doc" \l "_Toc22347"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十</w:t>
      </w:r>
      <w:r>
        <w:rPr>
          <w:rStyle w:val="42"/>
          <w:rFonts w:hint="eastAsia" w:ascii="仿宋" w:hAnsi="仿宋" w:eastAsia="仿宋" w:cs="宋体"/>
          <w:color w:val="000000" w:themeColor="text1"/>
          <w:sz w:val="28"/>
          <w:szCs w:val="28"/>
          <w:u w:val="none"/>
          <w:shd w:val="pct10" w:color="auto" w:fill="FFFFFF"/>
          <w:lang w:val="en-US" w:eastAsia="zh-CN"/>
          <w14:textFill>
            <w14:solidFill>
              <w14:schemeClr w14:val="tx1"/>
            </w14:solidFill>
          </w14:textFill>
        </w:rPr>
        <w:t>一</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、供应商综合情况简介</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ascii="仿宋" w:hAnsi="仿宋" w:eastAsia="仿宋" w:cs="宋体"/>
          <w:color w:val="000000" w:themeColor="text1"/>
          <w:sz w:val="28"/>
          <w:szCs w:val="28"/>
          <w:u w:val="none"/>
          <w:shd w:val="pct10" w:color="auto" w:fill="FFFFFF"/>
          <w14:textFill>
            <w14:solidFill>
              <w14:schemeClr w14:val="tx1"/>
            </w14:solidFill>
          </w14:textFill>
        </w:rPr>
        <w:fldChar w:fldCharType="begin" w:fldLock="1"/>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instrText xml:space="preserve"> PAGEREF _Toc22347 </w:instrText>
      </w:r>
      <w:r>
        <w:rPr>
          <w:rStyle w:val="42"/>
          <w:rFonts w:ascii="仿宋" w:hAnsi="仿宋" w:eastAsia="仿宋" w:cs="宋体"/>
          <w:color w:val="000000" w:themeColor="text1"/>
          <w:sz w:val="28"/>
          <w:szCs w:val="28"/>
          <w:u w:val="none"/>
          <w:shd w:val="pct10" w:color="auto" w:fill="FFFFFF"/>
          <w14:textFill>
            <w14:solidFill>
              <w14:schemeClr w14:val="tx1"/>
            </w14:solidFill>
          </w14:textFill>
        </w:rPr>
        <w:fldChar w:fldCharType="end"/>
      </w:r>
      <w:r>
        <w:rPr>
          <w:rStyle w:val="42"/>
          <w:rFonts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pStyle w:val="31"/>
        <w:tabs>
          <w:tab w:val="right" w:leader="dot" w:pos="9070"/>
        </w:tabs>
        <w:spacing w:line="360" w:lineRule="auto"/>
        <w:rPr>
          <w:rStyle w:val="42"/>
          <w:rFonts w:ascii="仿宋" w:hAnsi="仿宋" w:eastAsia="仿宋"/>
          <w:color w:val="000000" w:themeColor="text1"/>
          <w:sz w:val="28"/>
          <w:szCs w:val="28"/>
          <w:u w:val="none"/>
          <w:shd w:val="pct10" w:color="auto" w:fill="FFFFFF"/>
          <w14:textFill>
            <w14:solidFill>
              <w14:schemeClr w14:val="tx1"/>
            </w14:solidFill>
          </w14:textFill>
        </w:rPr>
      </w:pPr>
      <w:r>
        <w:rPr>
          <w:rStyle w:val="42"/>
          <w:rFonts w:ascii="仿宋" w:hAnsi="仿宋" w:eastAsia="仿宋" w:cs="宋体"/>
          <w:color w:val="000000" w:themeColor="text1"/>
          <w:sz w:val="28"/>
          <w:szCs w:val="28"/>
          <w:u w:val="none"/>
          <w:shd w:val="pct10" w:color="auto" w:fill="FFFFFF"/>
          <w14:textFill>
            <w14:solidFill>
              <w14:schemeClr w14:val="tx1"/>
            </w14:solidFill>
          </w14:textFill>
        </w:rPr>
        <w:fldChar w:fldCharType="end"/>
      </w:r>
      <w:r>
        <w:fldChar w:fldCharType="begin"/>
      </w:r>
      <w:r>
        <w:instrText xml:space="preserve"> HYPERLINK "file:///C:\\Users\\admin\\Desktop\\招标项目吴雄光\\2018年项目\\Documents\\tencent%20files\\1530687085\\Desktop\\光伏项目1.doc" \l "_Toc23604" </w:instrText>
      </w:r>
      <w:r>
        <w:fldChar w:fldCharType="separate"/>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十</w:t>
      </w:r>
      <w:r>
        <w:rPr>
          <w:rStyle w:val="42"/>
          <w:rFonts w:hint="eastAsia" w:ascii="仿宋" w:hAnsi="仿宋" w:eastAsia="仿宋" w:cs="宋体"/>
          <w:color w:val="000000" w:themeColor="text1"/>
          <w:sz w:val="28"/>
          <w:szCs w:val="28"/>
          <w:u w:val="none"/>
          <w:shd w:val="pct10" w:color="auto" w:fill="FFFFFF"/>
          <w:lang w:val="en-US" w:eastAsia="zh-CN"/>
          <w14:textFill>
            <w14:solidFill>
              <w14:schemeClr w14:val="tx1"/>
            </w14:solidFill>
          </w14:textFill>
        </w:rPr>
        <w:t>二</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、其他相关证明材料</w:t>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tab/>
      </w:r>
      <w:r>
        <w:rPr>
          <w:rStyle w:val="42"/>
          <w:rFonts w:hint="eastAsia" w:ascii="仿宋" w:hAnsi="仿宋" w:eastAsia="仿宋" w:cs="宋体"/>
          <w:color w:val="000000" w:themeColor="text1"/>
          <w:sz w:val="28"/>
          <w:szCs w:val="28"/>
          <w:u w:val="none"/>
          <w:shd w:val="pct10" w:color="auto" w:fill="FFFFFF"/>
          <w14:textFill>
            <w14:solidFill>
              <w14:schemeClr w14:val="tx1"/>
            </w14:solidFill>
          </w14:textFill>
        </w:rPr>
        <w:fldChar w:fldCharType="end"/>
      </w:r>
    </w:p>
    <w:p>
      <w:pPr>
        <w:jc w:val="center"/>
        <w:rPr>
          <w:rFonts w:ascii="仿宋" w:hAnsi="仿宋" w:eastAsia="仿宋"/>
          <w:color w:val="000000" w:themeColor="text1"/>
          <w:sz w:val="28"/>
          <w:szCs w:val="28"/>
          <w14:textFill>
            <w14:solidFill>
              <w14:schemeClr w14:val="tx1"/>
            </w14:solidFill>
          </w14:textFill>
        </w:rPr>
      </w:pPr>
    </w:p>
    <w:p>
      <w:pPr>
        <w:jc w:val="center"/>
        <w:rPr>
          <w:rFonts w:ascii="仿宋" w:hAnsi="仿宋" w:eastAsia="仿宋"/>
          <w:color w:val="000000" w:themeColor="text1"/>
          <w:sz w:val="28"/>
          <w:szCs w:val="28"/>
          <w14:textFill>
            <w14:solidFill>
              <w14:schemeClr w14:val="tx1"/>
            </w14:solidFill>
          </w14:textFill>
        </w:rPr>
      </w:pPr>
    </w:p>
    <w:p>
      <w:pPr>
        <w:jc w:val="center"/>
        <w:rPr>
          <w:rFonts w:ascii="仿宋" w:hAnsi="仿宋" w:eastAsia="仿宋"/>
          <w:color w:val="000000" w:themeColor="text1"/>
          <w:sz w:val="28"/>
          <w:szCs w:val="28"/>
          <w14:textFill>
            <w14:solidFill>
              <w14:schemeClr w14:val="tx1"/>
            </w14:solidFill>
          </w14:textFill>
        </w:rPr>
      </w:pPr>
    </w:p>
    <w:p>
      <w:pPr>
        <w:jc w:val="cente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br w:type="page"/>
      </w:r>
    </w:p>
    <w:p>
      <w:pPr>
        <w:jc w:val="center"/>
        <w:rPr>
          <w:rFonts w:ascii="黑体" w:hAnsi="黑体" w:eastAsia="黑体" w:cs="宋体"/>
          <w:color w:val="000000" w:themeColor="text1"/>
          <w:kern w:val="0"/>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一、</w:t>
      </w:r>
      <w:r>
        <w:rPr>
          <w:rFonts w:hint="eastAsia" w:ascii="黑体" w:hAnsi="黑体" w:eastAsia="黑体" w:cs="宋体"/>
          <w:color w:val="000000" w:themeColor="text1"/>
          <w:kern w:val="0"/>
          <w:sz w:val="28"/>
          <w:szCs w:val="28"/>
          <w14:textFill>
            <w14:solidFill>
              <w14:schemeClr w14:val="tx1"/>
            </w14:solidFill>
          </w14:textFill>
        </w:rPr>
        <w:t>报价表</w:t>
      </w:r>
    </w:p>
    <w:p>
      <w:pPr>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1-1首轮报价表</w:t>
      </w:r>
    </w:p>
    <w:tbl>
      <w:tblPr>
        <w:tblStyle w:val="38"/>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4"/>
        <w:gridCol w:w="6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4" w:type="dxa"/>
            <w:vAlign w:val="center"/>
          </w:tcPr>
          <w:p>
            <w:pPr>
              <w:autoSpaceDE w:val="0"/>
              <w:autoSpaceDN w:val="0"/>
              <w:adjustRightInd w:val="0"/>
              <w:jc w:val="center"/>
              <w:outlineLvl w:val="1"/>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项目名称</w:t>
            </w:r>
          </w:p>
        </w:tc>
        <w:tc>
          <w:tcPr>
            <w:tcW w:w="6244" w:type="dxa"/>
            <w:vAlign w:val="center"/>
          </w:tcPr>
          <w:p>
            <w:pPr>
              <w:autoSpaceDE w:val="0"/>
              <w:autoSpaceDN w:val="0"/>
              <w:adjustRightInd w:val="0"/>
              <w:jc w:val="center"/>
              <w:outlineLvl w:val="1"/>
              <w:rPr>
                <w:rFonts w:ascii="仿宋" w:hAnsi="仿宋" w:eastAsia="仿宋" w:cs="??_GB2312"/>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4" w:type="dxa"/>
            <w:vAlign w:val="center"/>
          </w:tcPr>
          <w:p>
            <w:pPr>
              <w:autoSpaceDE w:val="0"/>
              <w:autoSpaceDN w:val="0"/>
              <w:adjustRightInd w:val="0"/>
              <w:jc w:val="center"/>
              <w:outlineLvl w:val="1"/>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供应商全称</w:t>
            </w:r>
          </w:p>
        </w:tc>
        <w:tc>
          <w:tcPr>
            <w:tcW w:w="6244" w:type="dxa"/>
            <w:vAlign w:val="center"/>
          </w:tcPr>
          <w:p>
            <w:pPr>
              <w:autoSpaceDE w:val="0"/>
              <w:autoSpaceDN w:val="0"/>
              <w:adjustRightInd w:val="0"/>
              <w:jc w:val="center"/>
              <w:outlineLvl w:val="1"/>
              <w:rPr>
                <w:rFonts w:ascii="仿宋" w:hAnsi="仿宋" w:eastAsia="仿宋" w:cs="??_GB2312"/>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4" w:type="dxa"/>
            <w:vAlign w:val="center"/>
          </w:tcPr>
          <w:p>
            <w:pPr>
              <w:autoSpaceDE w:val="0"/>
              <w:autoSpaceDN w:val="0"/>
              <w:adjustRightInd w:val="0"/>
              <w:jc w:val="center"/>
              <w:outlineLvl w:val="1"/>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磋商范围</w:t>
            </w:r>
          </w:p>
        </w:tc>
        <w:tc>
          <w:tcPr>
            <w:tcW w:w="6244" w:type="dxa"/>
            <w:vAlign w:val="center"/>
          </w:tcPr>
          <w:p>
            <w:pPr>
              <w:autoSpaceDE w:val="0"/>
              <w:autoSpaceDN w:val="0"/>
              <w:adjustRightInd w:val="0"/>
              <w:outlineLvl w:val="1"/>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全部/第</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trPr>
        <w:tc>
          <w:tcPr>
            <w:tcW w:w="2284" w:type="dxa"/>
            <w:vAlign w:val="center"/>
          </w:tcPr>
          <w:p>
            <w:pPr>
              <w:autoSpaceDE w:val="0"/>
              <w:autoSpaceDN w:val="0"/>
              <w:adjustRightInd w:val="0"/>
              <w:jc w:val="center"/>
              <w:outlineLvl w:val="1"/>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磋商报价</w:t>
            </w:r>
          </w:p>
        </w:tc>
        <w:tc>
          <w:tcPr>
            <w:tcW w:w="6244" w:type="dxa"/>
            <w:vAlign w:val="center"/>
          </w:tcPr>
          <w:p>
            <w:pPr>
              <w:autoSpaceDE w:val="0"/>
              <w:autoSpaceDN w:val="0"/>
              <w:adjustRightInd w:val="0"/>
              <w:outlineLvl w:val="1"/>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大写：</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 ，</w:t>
            </w:r>
          </w:p>
          <w:p>
            <w:pPr>
              <w:autoSpaceDE w:val="0"/>
              <w:autoSpaceDN w:val="0"/>
              <w:adjustRightInd w:val="0"/>
              <w:outlineLvl w:val="1"/>
              <w:rPr>
                <w:rFonts w:ascii="仿宋" w:hAnsi="仿宋" w:eastAsia="仿宋"/>
                <w:color w:val="000000" w:themeColor="text1"/>
                <w:sz w:val="28"/>
                <w:szCs w:val="28"/>
                <w14:textFill>
                  <w14:solidFill>
                    <w14:schemeClr w14:val="tx1"/>
                  </w14:solidFill>
                </w14:textFill>
              </w:rPr>
            </w:pPr>
          </w:p>
          <w:p>
            <w:pPr>
              <w:autoSpaceDE w:val="0"/>
              <w:autoSpaceDN w:val="0"/>
              <w:adjustRightInd w:val="0"/>
              <w:outlineLvl w:val="1"/>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小写：</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1" w:hRule="atLeast"/>
        </w:trPr>
        <w:tc>
          <w:tcPr>
            <w:tcW w:w="2284" w:type="dxa"/>
            <w:vAlign w:val="center"/>
          </w:tcPr>
          <w:p>
            <w:pPr>
              <w:autoSpaceDE w:val="0"/>
              <w:autoSpaceDN w:val="0"/>
              <w:adjustRightInd w:val="0"/>
              <w:jc w:val="center"/>
              <w:outlineLvl w:val="1"/>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备注说明</w:t>
            </w:r>
          </w:p>
        </w:tc>
        <w:tc>
          <w:tcPr>
            <w:tcW w:w="6244" w:type="dxa"/>
            <w:vAlign w:val="center"/>
          </w:tcPr>
          <w:p>
            <w:pPr>
              <w:autoSpaceDE w:val="0"/>
              <w:autoSpaceDN w:val="0"/>
              <w:adjustRightInd w:val="0"/>
              <w:jc w:val="center"/>
              <w:outlineLvl w:val="1"/>
              <w:rPr>
                <w:rFonts w:ascii="仿宋" w:hAnsi="仿宋" w:eastAsia="仿宋" w:cs="??_GB2312"/>
                <w:color w:val="000000" w:themeColor="text1"/>
                <w:kern w:val="0"/>
                <w:sz w:val="28"/>
                <w:szCs w:val="28"/>
                <w14:textFill>
                  <w14:solidFill>
                    <w14:schemeClr w14:val="tx1"/>
                  </w14:solidFill>
                </w14:textFill>
              </w:rPr>
            </w:pPr>
          </w:p>
        </w:tc>
      </w:tr>
    </w:tbl>
    <w:p>
      <w:pPr>
        <w:keepNext w:val="0"/>
        <w:keepLines w:val="0"/>
        <w:pageBreakBefore w:val="0"/>
        <w:widowControl w:val="0"/>
        <w:kinsoku/>
        <w:wordWrap/>
        <w:overflowPunct/>
        <w:topLinePunct w:val="0"/>
        <w:autoSpaceDE w:val="0"/>
        <w:autoSpaceDN w:val="0"/>
        <w:bidi w:val="0"/>
        <w:adjustRightInd w:val="0"/>
        <w:snapToGrid/>
        <w:ind w:left="901"/>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60" w:lineRule="auto"/>
        <w:ind w:firstLine="2380" w:firstLineChars="850"/>
        <w:textAlignment w:val="auto"/>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360" w:lineRule="auto"/>
        <w:ind w:firstLine="2380" w:firstLineChars="85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供应商</w:t>
      </w:r>
      <w:r>
        <w:rPr>
          <w:rFonts w:hint="eastAsia" w:ascii="仿宋" w:hAnsi="仿宋" w:eastAsia="仿宋"/>
          <w:color w:val="000000" w:themeColor="text1"/>
          <w:sz w:val="28"/>
          <w:szCs w:val="28"/>
          <w:lang w:val="en-US" w:eastAsia="zh-CN"/>
          <w14:textFill>
            <w14:solidFill>
              <w14:schemeClr w14:val="tx1"/>
            </w14:solidFill>
          </w14:textFill>
        </w:rPr>
        <w:t>盖</w:t>
      </w:r>
      <w:r>
        <w:rPr>
          <w:rFonts w:hint="eastAsia" w:ascii="仿宋" w:hAnsi="仿宋" w:eastAsia="仿宋"/>
          <w:color w:val="000000" w:themeColor="text1"/>
          <w:sz w:val="28"/>
          <w:szCs w:val="28"/>
          <w14:textFill>
            <w14:solidFill>
              <w14:schemeClr w14:val="tx1"/>
            </w14:solidFill>
          </w14:textFill>
        </w:rPr>
        <w:t>章：</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日             期：</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val="0"/>
        <w:snapToGrid w:val="0"/>
        <w:ind w:left="-88" w:leftChars="-42"/>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备注：</w:t>
      </w:r>
    </w:p>
    <w:p>
      <w:pPr>
        <w:keepNext w:val="0"/>
        <w:keepLines w:val="0"/>
        <w:pageBreakBefore w:val="0"/>
        <w:widowControl w:val="0"/>
        <w:kinsoku/>
        <w:wordWrap/>
        <w:overflowPunct/>
        <w:topLinePunct w:val="0"/>
        <w:autoSpaceDE/>
        <w:autoSpaceDN/>
        <w:bidi w:val="0"/>
        <w:adjustRightInd w:val="0"/>
        <w:snapToGrid w:val="0"/>
        <w:ind w:left="-88" w:leftChars="-42" w:firstLine="700" w:firstLineChars="25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本表内容根据磋商文件要求包括了服务及其配套的设计、采购、制造、检测、试验、运输、保险、仓储、税费以及现场落地、安装及安装耗损、调试、验收、培训、技术服务（包括技术资料、图纸的提供）质保期内的售后服务保障等所有费用。</w:t>
      </w:r>
    </w:p>
    <w:p>
      <w:pPr>
        <w:keepNext w:val="0"/>
        <w:keepLines w:val="0"/>
        <w:pageBreakBefore w:val="0"/>
        <w:widowControl w:val="0"/>
        <w:kinsoku/>
        <w:wordWrap/>
        <w:overflowPunct/>
        <w:topLinePunct w:val="0"/>
        <w:autoSpaceDE/>
        <w:autoSpaceDN/>
        <w:bidi w:val="0"/>
        <w:adjustRightInd w:val="0"/>
        <w:snapToGrid w:val="0"/>
        <w:ind w:left="-88" w:leftChars="-42" w:firstLine="700" w:firstLineChars="25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2.特殊事项在备注中注明。</w:t>
      </w:r>
    </w:p>
    <w:p>
      <w:pPr>
        <w:keepNext w:val="0"/>
        <w:keepLines w:val="0"/>
        <w:pageBreakBefore w:val="0"/>
        <w:widowControl w:val="0"/>
        <w:kinsoku/>
        <w:wordWrap/>
        <w:overflowPunct/>
        <w:topLinePunct w:val="0"/>
        <w:autoSpaceDE/>
        <w:autoSpaceDN/>
        <w:bidi w:val="0"/>
        <w:adjustRightInd w:val="0"/>
        <w:snapToGrid w:val="0"/>
        <w:ind w:left="-88" w:leftChars="-42" w:firstLine="700" w:firstLineChars="250"/>
        <w:textAlignment w:val="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3.供应商在填写</w:t>
      </w:r>
      <w:r>
        <w:rPr>
          <w:rFonts w:hint="eastAsia" w:ascii="仿宋" w:hAnsi="仿宋" w:eastAsia="仿宋" w:cs="??_GB2312"/>
          <w:color w:val="000000" w:themeColor="text1"/>
          <w:kern w:val="0"/>
          <w:sz w:val="28"/>
          <w:szCs w:val="28"/>
          <w14:textFill>
            <w14:solidFill>
              <w14:schemeClr w14:val="tx1"/>
            </w14:solidFill>
          </w14:textFill>
        </w:rPr>
        <w:t>电子交易系统中唱标信息表时，“投标单位”栏应填写“供应商全称”；“投标报价”栏应填写本报价表“磋商报价”；</w:t>
      </w:r>
      <w:r>
        <w:rPr>
          <w:rFonts w:ascii="仿宋" w:hAnsi="仿宋" w:eastAsia="仿宋" w:cs="??_GB2312"/>
          <w:color w:val="000000" w:themeColor="text1"/>
          <w:kern w:val="0"/>
          <w:sz w:val="28"/>
          <w:szCs w:val="28"/>
          <w14:textFill>
            <w14:solidFill>
              <w14:schemeClr w14:val="tx1"/>
            </w14:solidFill>
          </w14:textFill>
        </w:rPr>
        <w:t xml:space="preserve"> </w:t>
      </w:r>
      <w:r>
        <w:rPr>
          <w:rFonts w:hint="eastAsia" w:ascii="仿宋" w:hAnsi="仿宋" w:eastAsia="仿宋" w:cs="??_GB2312"/>
          <w:color w:val="000000" w:themeColor="text1"/>
          <w:kern w:val="0"/>
          <w:sz w:val="28"/>
          <w:szCs w:val="28"/>
          <w14:textFill>
            <w14:solidFill>
              <w14:schemeClr w14:val="tx1"/>
            </w14:solidFill>
          </w14:textFill>
        </w:rPr>
        <w:t>“项目经理”栏应填写“授权代表”</w:t>
      </w:r>
      <w:r>
        <w:rPr>
          <w:rFonts w:hint="eastAsia" w:ascii="仿宋" w:hAnsi="仿宋" w:eastAsia="仿宋"/>
          <w:color w:val="000000" w:themeColor="text1"/>
          <w:sz w:val="28"/>
          <w:szCs w:val="28"/>
          <w14:textFill>
            <w14:solidFill>
              <w14:schemeClr w14:val="tx1"/>
            </w14:solidFill>
          </w14:textFill>
        </w:rPr>
        <w:t>；</w:t>
      </w:r>
      <w:r>
        <w:rPr>
          <w:rFonts w:hint="eastAsia" w:ascii="仿宋" w:hAnsi="仿宋" w:eastAsia="仿宋" w:cs="??_GB2312"/>
          <w:color w:val="000000" w:themeColor="text1"/>
          <w:kern w:val="0"/>
          <w:sz w:val="28"/>
          <w:szCs w:val="28"/>
          <w14:textFill>
            <w14:solidFill>
              <w14:schemeClr w14:val="tx1"/>
            </w14:solidFill>
          </w14:textFill>
        </w:rPr>
        <w:t>“投标工期”栏应填写“服务期限”；“质量目标”栏应填写“合格”。电子交易系统</w:t>
      </w:r>
      <w:r>
        <w:rPr>
          <w:rFonts w:hint="eastAsia" w:ascii="仿宋" w:hAnsi="仿宋" w:eastAsia="仿宋"/>
          <w:color w:val="000000" w:themeColor="text1"/>
          <w:sz w:val="28"/>
          <w:szCs w:val="28"/>
          <w14:textFill>
            <w14:solidFill>
              <w14:schemeClr w14:val="tx1"/>
            </w14:solidFill>
          </w14:textFill>
        </w:rPr>
        <w:t>唱标信息不作为评审的依据。供应商在</w:t>
      </w:r>
      <w:r>
        <w:rPr>
          <w:rFonts w:hint="eastAsia" w:ascii="仿宋" w:hAnsi="仿宋" w:eastAsia="仿宋" w:cs="??_GB2312"/>
          <w:color w:val="000000" w:themeColor="text1"/>
          <w:kern w:val="0"/>
          <w:sz w:val="28"/>
          <w:szCs w:val="28"/>
          <w14:textFill>
            <w14:solidFill>
              <w14:schemeClr w14:val="tx1"/>
            </w14:solidFill>
          </w14:textFill>
        </w:rPr>
        <w:t>电子交易系统</w:t>
      </w:r>
      <w:r>
        <w:rPr>
          <w:rFonts w:hint="eastAsia" w:ascii="仿宋" w:hAnsi="仿宋" w:eastAsia="仿宋"/>
          <w:color w:val="000000" w:themeColor="text1"/>
          <w:sz w:val="28"/>
          <w:szCs w:val="28"/>
          <w14:textFill>
            <w14:solidFill>
              <w14:schemeClr w14:val="tx1"/>
            </w14:solidFill>
          </w14:textFill>
        </w:rPr>
        <w:t>唱标信息栏所填列内容与本采购文件不一致的，以本采购文件和供应商响应文件为准。</w:t>
      </w:r>
    </w:p>
    <w:p>
      <w:pPr>
        <w:keepNext w:val="0"/>
        <w:keepLines w:val="0"/>
        <w:pageBreakBefore w:val="0"/>
        <w:widowControl w:val="0"/>
        <w:kinsoku/>
        <w:wordWrap/>
        <w:overflowPunct/>
        <w:topLinePunct w:val="0"/>
        <w:autoSpaceDE/>
        <w:autoSpaceDN/>
        <w:bidi w:val="0"/>
        <w:adjustRightInd w:val="0"/>
        <w:snapToGrid w:val="0"/>
        <w:ind w:left="-88" w:leftChars="-42" w:firstLine="700" w:firstLineChars="250"/>
        <w:textAlignment w:val="auto"/>
        <w:rPr>
          <w:rFonts w:ascii="仿宋" w:hAnsi="仿宋" w:eastAsia="仿宋"/>
          <w:color w:val="000000" w:themeColor="text1"/>
          <w:sz w:val="28"/>
          <w:szCs w:val="28"/>
          <w14:textFill>
            <w14:solidFill>
              <w14:schemeClr w14:val="tx1"/>
            </w14:solidFill>
          </w14:textFill>
        </w:rPr>
      </w:pPr>
    </w:p>
    <w:p>
      <w:pPr>
        <w:adjustRightInd w:val="0"/>
        <w:snapToGrid w:val="0"/>
        <w:spacing w:line="360" w:lineRule="auto"/>
        <w:ind w:firstLine="1820" w:firstLineChars="650"/>
        <w:jc w:val="left"/>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br w:type="page"/>
      </w:r>
    </w:p>
    <w:p>
      <w:pPr>
        <w:adjustRightInd w:val="0"/>
        <w:snapToGrid w:val="0"/>
        <w:spacing w:line="360" w:lineRule="auto"/>
        <w:ind w:firstLine="1820" w:firstLineChars="650"/>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1-2分项报价明细表</w:t>
      </w:r>
    </w:p>
    <w:p>
      <w:pPr>
        <w:adjustRightInd w:val="0"/>
        <w:snapToGrid w:val="0"/>
        <w:spacing w:line="360" w:lineRule="auto"/>
        <w:ind w:firstLine="1820" w:firstLineChars="650"/>
        <w:jc w:val="left"/>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（仅供参考，供应商可自行制作格式）</w:t>
      </w:r>
    </w:p>
    <w:tbl>
      <w:tblPr>
        <w:tblStyle w:val="37"/>
        <w:tblW w:w="5000" w:type="pct"/>
        <w:tblInd w:w="0" w:type="dxa"/>
        <w:tblLayout w:type="fixed"/>
        <w:tblCellMar>
          <w:top w:w="0" w:type="dxa"/>
          <w:left w:w="108" w:type="dxa"/>
          <w:bottom w:w="0" w:type="dxa"/>
          <w:right w:w="108" w:type="dxa"/>
        </w:tblCellMar>
      </w:tblPr>
      <w:tblGrid>
        <w:gridCol w:w="926"/>
        <w:gridCol w:w="1639"/>
        <w:gridCol w:w="807"/>
        <w:gridCol w:w="999"/>
        <w:gridCol w:w="1235"/>
        <w:gridCol w:w="2922"/>
      </w:tblGrid>
      <w:tr>
        <w:tblPrEx>
          <w:tblCellMar>
            <w:top w:w="0" w:type="dxa"/>
            <w:left w:w="108" w:type="dxa"/>
            <w:bottom w:w="0" w:type="dxa"/>
            <w:right w:w="108" w:type="dxa"/>
          </w:tblCellMar>
        </w:tblPrEx>
        <w:trPr>
          <w:trHeight w:val="304" w:hRule="atLeast"/>
        </w:trPr>
        <w:tc>
          <w:tcPr>
            <w:tcW w:w="1977"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lang w:val="en-US" w:eastAsia="zh-CN"/>
              </w:rPr>
              <w:t>池州市第三人民医院</w:t>
            </w:r>
            <w:bookmarkStart w:id="56" w:name="_GoBack"/>
            <w:bookmarkEnd w:id="56"/>
          </w:p>
        </w:tc>
        <w:tc>
          <w:tcPr>
            <w:tcW w:w="1310" w:type="pct"/>
            <w:gridSpan w:val="2"/>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供应商填写</w:t>
            </w:r>
          </w:p>
        </w:tc>
        <w:tc>
          <w:tcPr>
            <w:tcW w:w="171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2"/>
                <w:szCs w:val="22"/>
                <w:lang w:val="en-US" w:eastAsia="zh-CN" w:bidi="ar-SA"/>
              </w:rPr>
            </w:pPr>
          </w:p>
        </w:tc>
      </w:tr>
      <w:tr>
        <w:tblPrEx>
          <w:tblCellMar>
            <w:top w:w="0" w:type="dxa"/>
            <w:left w:w="108" w:type="dxa"/>
            <w:bottom w:w="0" w:type="dxa"/>
            <w:right w:w="108" w:type="dxa"/>
          </w:tblCellMar>
        </w:tblPrEx>
        <w:trPr>
          <w:trHeight w:val="304" w:hRule="atLeast"/>
        </w:trPr>
        <w:tc>
          <w:tcPr>
            <w:tcW w:w="54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服务名称</w:t>
            </w:r>
          </w:p>
        </w:tc>
        <w:tc>
          <w:tcPr>
            <w:tcW w:w="961"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规格型号</w:t>
            </w:r>
          </w:p>
        </w:tc>
        <w:tc>
          <w:tcPr>
            <w:tcW w:w="471"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数量</w:t>
            </w:r>
          </w:p>
        </w:tc>
        <w:tc>
          <w:tcPr>
            <w:tcW w:w="586"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单价（元</w:t>
            </w:r>
            <w:r>
              <w:rPr>
                <w:rFonts w:hint="eastAsia" w:ascii="等线" w:hAnsi="等线" w:eastAsia="等线" w:cs="宋体"/>
                <w:b/>
                <w:bCs/>
                <w:color w:val="000000"/>
                <w:kern w:val="0"/>
                <w:sz w:val="22"/>
                <w:szCs w:val="22"/>
              </w:rPr>
              <w:t>/</w:t>
            </w:r>
            <w:r>
              <w:rPr>
                <w:rFonts w:hint="eastAsia" w:ascii="宋体" w:hAnsi="宋体" w:eastAsia="宋体" w:cs="宋体"/>
                <w:b/>
                <w:bCs/>
                <w:color w:val="000000"/>
                <w:kern w:val="0"/>
                <w:sz w:val="22"/>
                <w:szCs w:val="22"/>
              </w:rPr>
              <w:t>年）</w:t>
            </w:r>
          </w:p>
        </w:tc>
        <w:tc>
          <w:tcPr>
            <w:tcW w:w="723"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2"/>
                <w:szCs w:val="22"/>
              </w:rPr>
            </w:pPr>
            <w:r>
              <w:rPr>
                <w:rFonts w:hint="eastAsia" w:ascii="宋体" w:hAnsi="宋体" w:eastAsia="宋体" w:cs="宋体"/>
                <w:b/>
                <w:bCs/>
                <w:color w:val="000000"/>
                <w:kern w:val="0"/>
                <w:sz w:val="22"/>
                <w:szCs w:val="22"/>
              </w:rPr>
              <w:t>总价（元</w:t>
            </w:r>
            <w:r>
              <w:rPr>
                <w:rFonts w:hint="eastAsia" w:ascii="等线" w:hAnsi="等线" w:eastAsia="等线" w:cs="宋体"/>
                <w:b/>
                <w:bCs/>
                <w:color w:val="000000"/>
                <w:kern w:val="0"/>
                <w:sz w:val="22"/>
                <w:szCs w:val="22"/>
              </w:rPr>
              <w:t>/</w:t>
            </w:r>
            <w:r>
              <w:rPr>
                <w:rFonts w:hint="eastAsia" w:ascii="宋体" w:hAnsi="宋体" w:eastAsia="宋体" w:cs="宋体"/>
                <w:b/>
                <w:bCs/>
                <w:color w:val="000000"/>
                <w:kern w:val="0"/>
                <w:sz w:val="22"/>
                <w:szCs w:val="22"/>
              </w:rPr>
              <w:t>年）</w:t>
            </w:r>
          </w:p>
        </w:tc>
        <w:tc>
          <w:tcPr>
            <w:tcW w:w="1712" w:type="pct"/>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b/>
                <w:bCs/>
                <w:color w:val="000000"/>
                <w:kern w:val="0"/>
                <w:sz w:val="22"/>
                <w:szCs w:val="22"/>
                <w:lang w:val="en-US" w:eastAsia="zh-CN" w:bidi="ar-SA"/>
              </w:rPr>
            </w:pPr>
            <w:r>
              <w:rPr>
                <w:rFonts w:hint="eastAsia" w:ascii="宋体" w:hAnsi="宋体" w:eastAsia="宋体" w:cs="宋体"/>
                <w:b/>
                <w:bCs/>
                <w:color w:val="000000"/>
                <w:kern w:val="0"/>
                <w:sz w:val="22"/>
                <w:szCs w:val="22"/>
              </w:rPr>
              <w:t>备注</w:t>
            </w:r>
          </w:p>
        </w:tc>
      </w:tr>
      <w:tr>
        <w:tblPrEx>
          <w:tblCellMar>
            <w:top w:w="0" w:type="dxa"/>
            <w:left w:w="108" w:type="dxa"/>
            <w:bottom w:w="0" w:type="dxa"/>
            <w:right w:w="108" w:type="dxa"/>
          </w:tblCellMar>
        </w:tblPrEx>
        <w:trPr>
          <w:trHeight w:val="304" w:hRule="atLeast"/>
        </w:trPr>
        <w:tc>
          <w:tcPr>
            <w:tcW w:w="543"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云主机1</w:t>
            </w:r>
          </w:p>
        </w:tc>
        <w:tc>
          <w:tcPr>
            <w:tcW w:w="96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16</w:t>
            </w:r>
            <w:r>
              <w:rPr>
                <w:rFonts w:hint="eastAsia" w:ascii="宋体" w:hAnsi="宋体" w:eastAsia="宋体" w:cs="宋体"/>
                <w:color w:val="000000"/>
                <w:kern w:val="0"/>
                <w:sz w:val="20"/>
                <w:szCs w:val="20"/>
              </w:rPr>
              <w:t xml:space="preserve">核 </w:t>
            </w:r>
            <w:r>
              <w:rPr>
                <w:rFonts w:hint="eastAsia" w:ascii="宋体" w:hAnsi="宋体" w:eastAsia="宋体" w:cs="宋体"/>
                <w:color w:val="000000"/>
                <w:kern w:val="0"/>
                <w:sz w:val="20"/>
                <w:szCs w:val="20"/>
                <w:lang w:val="en-US" w:eastAsia="zh-CN"/>
              </w:rPr>
              <w:t>64</w:t>
            </w:r>
            <w:r>
              <w:rPr>
                <w:rFonts w:hint="eastAsia" w:ascii="宋体" w:hAnsi="宋体" w:eastAsia="宋体" w:cs="宋体"/>
                <w:color w:val="000000"/>
                <w:kern w:val="0"/>
                <w:sz w:val="20"/>
                <w:szCs w:val="20"/>
              </w:rPr>
              <w:t>G</w:t>
            </w:r>
          </w:p>
        </w:tc>
        <w:tc>
          <w:tcPr>
            <w:tcW w:w="471"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1台</w:t>
            </w:r>
          </w:p>
        </w:tc>
        <w:tc>
          <w:tcPr>
            <w:tcW w:w="586"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723"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171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304" w:hRule="atLeast"/>
        </w:trPr>
        <w:tc>
          <w:tcPr>
            <w:tcW w:w="543" w:type="pct"/>
            <w:tcBorders>
              <w:top w:val="nil"/>
              <w:left w:val="single" w:color="auto" w:sz="4" w:space="0"/>
              <w:bottom w:val="single" w:color="auto" w:sz="4" w:space="0"/>
              <w:right w:val="single" w:color="auto" w:sz="4" w:space="0"/>
            </w:tcBorders>
            <w:shd w:val="clear" w:color="auto" w:fill="auto"/>
            <w:noWrap w:val="0"/>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云主机2</w:t>
            </w:r>
          </w:p>
        </w:tc>
        <w:tc>
          <w:tcPr>
            <w:tcW w:w="96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8</w:t>
            </w:r>
            <w:r>
              <w:rPr>
                <w:rFonts w:hint="eastAsia" w:ascii="宋体" w:hAnsi="宋体" w:eastAsia="宋体" w:cs="宋体"/>
                <w:color w:val="000000"/>
                <w:kern w:val="0"/>
                <w:sz w:val="20"/>
                <w:szCs w:val="20"/>
              </w:rPr>
              <w:t>核 32G</w:t>
            </w:r>
          </w:p>
        </w:tc>
        <w:tc>
          <w:tcPr>
            <w:tcW w:w="471"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1台</w:t>
            </w:r>
          </w:p>
        </w:tc>
        <w:tc>
          <w:tcPr>
            <w:tcW w:w="586"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723"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171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304" w:hRule="atLeast"/>
        </w:trPr>
        <w:tc>
          <w:tcPr>
            <w:tcW w:w="543"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云主机3</w:t>
            </w:r>
          </w:p>
        </w:tc>
        <w:tc>
          <w:tcPr>
            <w:tcW w:w="96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8</w:t>
            </w:r>
            <w:r>
              <w:rPr>
                <w:rFonts w:hint="eastAsia" w:ascii="宋体" w:hAnsi="宋体" w:eastAsia="宋体" w:cs="宋体"/>
                <w:color w:val="000000"/>
                <w:kern w:val="0"/>
                <w:sz w:val="20"/>
                <w:szCs w:val="20"/>
              </w:rPr>
              <w:t xml:space="preserve">核 </w:t>
            </w:r>
            <w:r>
              <w:rPr>
                <w:rFonts w:hint="eastAsia" w:ascii="宋体" w:hAnsi="宋体" w:eastAsia="宋体" w:cs="宋体"/>
                <w:color w:val="000000"/>
                <w:kern w:val="0"/>
                <w:sz w:val="20"/>
                <w:szCs w:val="20"/>
                <w:lang w:val="en-US" w:eastAsia="zh-CN"/>
              </w:rPr>
              <w:t>32</w:t>
            </w:r>
            <w:r>
              <w:rPr>
                <w:rFonts w:hint="eastAsia" w:ascii="宋体" w:hAnsi="宋体" w:eastAsia="宋体" w:cs="宋体"/>
                <w:color w:val="000000"/>
                <w:kern w:val="0"/>
                <w:sz w:val="20"/>
                <w:szCs w:val="20"/>
              </w:rPr>
              <w:t>G</w:t>
            </w:r>
          </w:p>
        </w:tc>
        <w:tc>
          <w:tcPr>
            <w:tcW w:w="471"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1台</w:t>
            </w:r>
          </w:p>
        </w:tc>
        <w:tc>
          <w:tcPr>
            <w:tcW w:w="586"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723"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171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304" w:hRule="atLeast"/>
        </w:trPr>
        <w:tc>
          <w:tcPr>
            <w:tcW w:w="543"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云专线</w:t>
            </w:r>
          </w:p>
        </w:tc>
        <w:tc>
          <w:tcPr>
            <w:tcW w:w="961" w:type="pct"/>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20M；PTN专线</w:t>
            </w:r>
          </w:p>
        </w:tc>
        <w:tc>
          <w:tcPr>
            <w:tcW w:w="471"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lang w:val="en-US" w:eastAsia="zh-CN"/>
              </w:rPr>
              <w:t>1条</w:t>
            </w:r>
          </w:p>
        </w:tc>
        <w:tc>
          <w:tcPr>
            <w:tcW w:w="586"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723"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171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r>
      <w:tr>
        <w:tblPrEx>
          <w:tblCellMar>
            <w:top w:w="0" w:type="dxa"/>
            <w:left w:w="108" w:type="dxa"/>
            <w:bottom w:w="0" w:type="dxa"/>
            <w:right w:w="108" w:type="dxa"/>
          </w:tblCellMar>
        </w:tblPrEx>
        <w:trPr>
          <w:trHeight w:val="304" w:hRule="atLeast"/>
        </w:trPr>
        <w:tc>
          <w:tcPr>
            <w:tcW w:w="543"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云</w:t>
            </w:r>
            <w:r>
              <w:rPr>
                <w:rFonts w:hint="eastAsia" w:ascii="宋体" w:hAnsi="宋体" w:eastAsia="宋体" w:cs="宋体"/>
                <w:color w:val="000000"/>
                <w:kern w:val="0"/>
                <w:sz w:val="20"/>
                <w:szCs w:val="20"/>
                <w:lang w:val="en-US" w:eastAsia="zh-CN"/>
              </w:rPr>
              <w:t>系统盘</w:t>
            </w:r>
          </w:p>
        </w:tc>
        <w:tc>
          <w:tcPr>
            <w:tcW w:w="96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高性能</w:t>
            </w:r>
            <w:r>
              <w:rPr>
                <w:rFonts w:hint="eastAsia" w:ascii="宋体" w:hAnsi="宋体" w:eastAsia="宋体" w:cs="宋体"/>
                <w:color w:val="000000"/>
                <w:kern w:val="0"/>
                <w:sz w:val="20"/>
                <w:szCs w:val="20"/>
              </w:rPr>
              <w:t>云主机存储</w:t>
            </w:r>
          </w:p>
        </w:tc>
        <w:tc>
          <w:tcPr>
            <w:tcW w:w="47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600</w:t>
            </w:r>
            <w:r>
              <w:rPr>
                <w:rFonts w:hint="eastAsia" w:ascii="宋体" w:hAnsi="宋体" w:eastAsia="宋体" w:cs="宋体"/>
                <w:color w:val="000000"/>
                <w:kern w:val="0"/>
                <w:sz w:val="20"/>
                <w:szCs w:val="20"/>
              </w:rPr>
              <w:t>G</w:t>
            </w:r>
          </w:p>
        </w:tc>
        <w:tc>
          <w:tcPr>
            <w:tcW w:w="586"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723"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171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304" w:hRule="atLeast"/>
        </w:trPr>
        <w:tc>
          <w:tcPr>
            <w:tcW w:w="543"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云</w:t>
            </w:r>
            <w:r>
              <w:rPr>
                <w:rFonts w:hint="eastAsia" w:ascii="宋体" w:hAnsi="宋体" w:eastAsia="宋体" w:cs="宋体"/>
                <w:color w:val="000000"/>
                <w:kern w:val="0"/>
                <w:sz w:val="20"/>
                <w:szCs w:val="20"/>
                <w:lang w:val="en-US" w:eastAsia="zh-CN"/>
              </w:rPr>
              <w:t>数据盘</w:t>
            </w:r>
          </w:p>
        </w:tc>
        <w:tc>
          <w:tcPr>
            <w:tcW w:w="96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标准性能</w:t>
            </w:r>
            <w:r>
              <w:rPr>
                <w:rFonts w:hint="eastAsia" w:ascii="宋体" w:hAnsi="宋体" w:eastAsia="宋体" w:cs="宋体"/>
                <w:color w:val="000000"/>
                <w:kern w:val="0"/>
                <w:sz w:val="20"/>
                <w:szCs w:val="20"/>
              </w:rPr>
              <w:t>云主机存储</w:t>
            </w:r>
          </w:p>
        </w:tc>
        <w:tc>
          <w:tcPr>
            <w:tcW w:w="471" w:type="pct"/>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6000</w:t>
            </w:r>
            <w:r>
              <w:rPr>
                <w:rFonts w:hint="eastAsia" w:ascii="宋体" w:hAnsi="宋体" w:eastAsia="宋体" w:cs="宋体"/>
                <w:color w:val="000000"/>
                <w:kern w:val="0"/>
                <w:sz w:val="20"/>
                <w:szCs w:val="20"/>
              </w:rPr>
              <w:t>G</w:t>
            </w:r>
          </w:p>
        </w:tc>
        <w:tc>
          <w:tcPr>
            <w:tcW w:w="586"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723"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171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　</w:t>
            </w:r>
          </w:p>
        </w:tc>
      </w:tr>
      <w:tr>
        <w:tblPrEx>
          <w:tblCellMar>
            <w:top w:w="0" w:type="dxa"/>
            <w:left w:w="108" w:type="dxa"/>
            <w:bottom w:w="0" w:type="dxa"/>
            <w:right w:w="108" w:type="dxa"/>
          </w:tblCellMar>
        </w:tblPrEx>
        <w:trPr>
          <w:trHeight w:val="304" w:hRule="atLeast"/>
        </w:trPr>
        <w:tc>
          <w:tcPr>
            <w:tcW w:w="543"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0"/>
                <w:szCs w:val="20"/>
                <w:lang w:val="en-US"/>
              </w:rPr>
            </w:pPr>
            <w:r>
              <w:rPr>
                <w:rFonts w:hint="eastAsia" w:ascii="宋体" w:hAnsi="宋体" w:eastAsia="宋体" w:cs="宋体"/>
                <w:color w:val="000000"/>
                <w:kern w:val="0"/>
                <w:sz w:val="20"/>
                <w:szCs w:val="20"/>
                <w:lang w:val="en-US" w:eastAsia="zh-CN"/>
              </w:rPr>
              <w:t>云安全中心</w:t>
            </w:r>
          </w:p>
        </w:tc>
        <w:tc>
          <w:tcPr>
            <w:tcW w:w="961"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0"/>
                <w:szCs w:val="20"/>
                <w:lang w:val="en-US" w:eastAsia="zh-CN"/>
              </w:rPr>
            </w:pPr>
            <w:r>
              <w:rPr>
                <w:rFonts w:hint="eastAsia" w:ascii="宋体" w:hAnsi="宋体" w:eastAsia="宋体" w:cs="宋体"/>
                <w:color w:val="000000"/>
                <w:kern w:val="0"/>
                <w:sz w:val="20"/>
                <w:szCs w:val="20"/>
              </w:rPr>
              <w:t>提供对云主机</w:t>
            </w:r>
            <w:r>
              <w:rPr>
                <w:rFonts w:hint="eastAsia" w:ascii="宋体" w:hAnsi="宋体" w:eastAsia="宋体" w:cs="宋体"/>
                <w:color w:val="000000"/>
                <w:kern w:val="0"/>
                <w:sz w:val="20"/>
                <w:szCs w:val="20"/>
                <w:lang w:val="en-US" w:eastAsia="zh-CN"/>
              </w:rPr>
              <w:t>安全加固</w:t>
            </w:r>
          </w:p>
        </w:tc>
        <w:tc>
          <w:tcPr>
            <w:tcW w:w="471" w:type="pct"/>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0"/>
                <w:szCs w:val="20"/>
                <w:lang w:val="en-US"/>
              </w:rPr>
            </w:pPr>
            <w:r>
              <w:rPr>
                <w:rFonts w:hint="eastAsia" w:ascii="宋体" w:hAnsi="宋体" w:eastAsia="宋体" w:cs="宋体"/>
                <w:color w:val="000000"/>
                <w:kern w:val="0"/>
                <w:sz w:val="20"/>
                <w:szCs w:val="20"/>
                <w:lang w:val="en-US" w:eastAsia="zh-CN"/>
              </w:rPr>
              <w:t>1个</w:t>
            </w:r>
          </w:p>
        </w:tc>
        <w:tc>
          <w:tcPr>
            <w:tcW w:w="586"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723"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1712" w:type="pct"/>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lang w:val="en-US" w:eastAsia="zh-CN"/>
              </w:rPr>
              <w:t>提供资产统一监控、</w:t>
            </w:r>
            <w:r>
              <w:rPr>
                <w:rFonts w:hint="eastAsia" w:ascii="宋体" w:hAnsi="宋体" w:eastAsia="宋体" w:cs="宋体"/>
                <w:color w:val="000000"/>
                <w:kern w:val="0"/>
                <w:sz w:val="20"/>
                <w:szCs w:val="20"/>
              </w:rPr>
              <w:t>实时告警</w:t>
            </w:r>
            <w:r>
              <w:rPr>
                <w:rFonts w:hint="eastAsia" w:ascii="宋体" w:hAnsi="宋体" w:eastAsia="宋体" w:cs="宋体"/>
                <w:color w:val="000000"/>
                <w:kern w:val="0"/>
                <w:sz w:val="20"/>
                <w:szCs w:val="20"/>
                <w:lang w:eastAsia="zh-CN"/>
              </w:rPr>
              <w:t>、</w:t>
            </w:r>
            <w:r>
              <w:rPr>
                <w:rFonts w:hint="eastAsia" w:ascii="宋体" w:hAnsi="宋体" w:eastAsia="宋体" w:cs="宋体"/>
                <w:color w:val="000000"/>
                <w:kern w:val="0"/>
                <w:sz w:val="20"/>
                <w:szCs w:val="20"/>
              </w:rPr>
              <w:t>提供漏洞、</w:t>
            </w:r>
          </w:p>
          <w:p>
            <w:pPr>
              <w:widowControl/>
              <w:jc w:val="left"/>
              <w:rPr>
                <w:rFonts w:hint="default" w:ascii="宋体" w:hAnsi="宋体" w:eastAsia="宋体" w:cs="宋体"/>
                <w:color w:val="000000"/>
                <w:kern w:val="0"/>
                <w:sz w:val="20"/>
                <w:szCs w:val="20"/>
                <w:lang w:val="en-US" w:eastAsia="zh-CN" w:bidi="ar-SA"/>
              </w:rPr>
            </w:pPr>
            <w:r>
              <w:rPr>
                <w:rFonts w:hint="eastAsia" w:ascii="宋体" w:hAnsi="宋体" w:eastAsia="宋体" w:cs="宋体"/>
                <w:color w:val="000000"/>
                <w:kern w:val="0"/>
                <w:sz w:val="20"/>
                <w:szCs w:val="20"/>
              </w:rPr>
              <w:t>补丁检测</w:t>
            </w:r>
            <w:r>
              <w:rPr>
                <w:rFonts w:hint="eastAsia" w:ascii="宋体" w:hAnsi="宋体" w:eastAsia="宋体" w:cs="宋体"/>
                <w:color w:val="000000"/>
                <w:kern w:val="0"/>
                <w:sz w:val="20"/>
                <w:szCs w:val="20"/>
                <w:lang w:val="en-US" w:eastAsia="zh-CN"/>
              </w:rPr>
              <w:t>等云安全服务</w:t>
            </w:r>
          </w:p>
        </w:tc>
      </w:tr>
      <w:tr>
        <w:tblPrEx>
          <w:tblCellMar>
            <w:top w:w="0" w:type="dxa"/>
            <w:left w:w="108" w:type="dxa"/>
            <w:bottom w:w="0" w:type="dxa"/>
            <w:right w:w="108" w:type="dxa"/>
          </w:tblCellMar>
        </w:tblPrEx>
        <w:trPr>
          <w:trHeight w:val="90" w:hRule="atLeast"/>
        </w:trPr>
        <w:tc>
          <w:tcPr>
            <w:tcW w:w="1977" w:type="pct"/>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rPr>
            </w:pPr>
            <w:r>
              <w:rPr>
                <w:rFonts w:hint="eastAsia" w:ascii="仿宋" w:hAnsi="仿宋"/>
                <w:color w:val="000000" w:themeColor="text1"/>
                <w:sz w:val="24"/>
                <w:szCs w:val="24"/>
                <w14:textFill>
                  <w14:solidFill>
                    <w14:schemeClr w14:val="tx1"/>
                  </w14:solidFill>
                </w14:textFill>
              </w:rPr>
              <w:t>合计</w:t>
            </w:r>
          </w:p>
        </w:tc>
        <w:tc>
          <w:tcPr>
            <w:tcW w:w="586"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723"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c>
          <w:tcPr>
            <w:tcW w:w="1712" w:type="pc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p>
        </w:tc>
      </w:tr>
      <w:tr>
        <w:tblPrEx>
          <w:tblCellMar>
            <w:top w:w="0" w:type="dxa"/>
            <w:left w:w="108" w:type="dxa"/>
            <w:bottom w:w="0" w:type="dxa"/>
            <w:right w:w="108" w:type="dxa"/>
          </w:tblCellMar>
        </w:tblPrEx>
        <w:trPr>
          <w:trHeight w:val="90" w:hRule="atLeast"/>
        </w:trPr>
        <w:tc>
          <w:tcPr>
            <w:tcW w:w="5000" w:type="pct"/>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0"/>
                <w:szCs w:val="20"/>
              </w:rPr>
            </w:pPr>
          </w:p>
        </w:tc>
      </w:tr>
    </w:tbl>
    <w:p>
      <w:pPr>
        <w:adjustRightInd w:val="0"/>
        <w:snapToGrid w:val="0"/>
        <w:spacing w:line="360" w:lineRule="auto"/>
        <w:rPr>
          <w:rFonts w:ascii="仿宋" w:hAnsi="仿宋" w:eastAsia="仿宋"/>
          <w:color w:val="000000" w:themeColor="text1"/>
          <w:sz w:val="28"/>
          <w:szCs w:val="28"/>
          <w14:textFill>
            <w14:solidFill>
              <w14:schemeClr w14:val="tx1"/>
            </w14:solidFill>
          </w14:textFill>
        </w:rPr>
      </w:pPr>
    </w:p>
    <w:p>
      <w:pPr>
        <w:adjustRightInd w:val="0"/>
        <w:snapToGrid w:val="0"/>
        <w:spacing w:line="360" w:lineRule="auto"/>
        <w:rPr>
          <w:rFonts w:ascii="仿宋" w:hAnsi="仿宋" w:eastAsia="仿宋"/>
          <w:color w:val="000000" w:themeColor="text1"/>
          <w:sz w:val="28"/>
          <w:szCs w:val="28"/>
          <w14:textFill>
            <w14:solidFill>
              <w14:schemeClr w14:val="tx1"/>
            </w14:solidFill>
          </w14:textFill>
        </w:rPr>
      </w:pPr>
    </w:p>
    <w:p>
      <w:pPr>
        <w:adjustRightInd w:val="0"/>
        <w:snapToGrid w:val="0"/>
        <w:spacing w:line="360" w:lineRule="auto"/>
        <w:ind w:firstLine="2380" w:firstLineChars="850"/>
        <w:rPr>
          <w:rFonts w:ascii="仿宋" w:hAnsi="仿宋" w:eastAsia="仿宋"/>
          <w:color w:val="000000" w:themeColor="text1"/>
          <w:sz w:val="28"/>
          <w:szCs w:val="28"/>
          <w14:textFill>
            <w14:solidFill>
              <w14:schemeClr w14:val="tx1"/>
            </w14:solidFill>
          </w14:textFill>
        </w:rPr>
      </w:pPr>
    </w:p>
    <w:p>
      <w:pPr>
        <w:adjustRightInd w:val="0"/>
        <w:snapToGrid w:val="0"/>
        <w:spacing w:line="360" w:lineRule="auto"/>
        <w:ind w:firstLine="2380" w:firstLineChars="85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供应商</w:t>
      </w:r>
      <w:r>
        <w:rPr>
          <w:rFonts w:hint="eastAsia" w:ascii="仿宋" w:hAnsi="仿宋" w:eastAsia="仿宋"/>
          <w:color w:val="000000" w:themeColor="text1"/>
          <w:sz w:val="28"/>
          <w:szCs w:val="28"/>
          <w:lang w:val="en-US" w:eastAsia="zh-CN"/>
          <w14:textFill>
            <w14:solidFill>
              <w14:schemeClr w14:val="tx1"/>
            </w14:solidFill>
          </w14:textFill>
        </w:rPr>
        <w:t>盖</w:t>
      </w:r>
      <w:r>
        <w:rPr>
          <w:rFonts w:hint="eastAsia" w:ascii="仿宋" w:hAnsi="仿宋" w:eastAsia="仿宋"/>
          <w:color w:val="000000" w:themeColor="text1"/>
          <w:sz w:val="28"/>
          <w:szCs w:val="28"/>
          <w14:textFill>
            <w14:solidFill>
              <w14:schemeClr w14:val="tx1"/>
            </w14:solidFill>
          </w14:textFill>
        </w:rPr>
        <w:t>章：</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       </w:t>
      </w:r>
    </w:p>
    <w:p>
      <w:pPr>
        <w:adjustRightInd w:val="0"/>
        <w:snapToGrid w:val="0"/>
        <w:spacing w:line="360" w:lineRule="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日             期：</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pPr>
        <w:keepNext w:val="0"/>
        <w:keepLines w:val="0"/>
        <w:pageBreakBefore w:val="0"/>
        <w:widowControl w:val="0"/>
        <w:kinsoku/>
        <w:wordWrap/>
        <w:overflowPunct/>
        <w:topLinePunct w:val="0"/>
        <w:autoSpaceDE w:val="0"/>
        <w:autoSpaceDN w:val="0"/>
        <w:bidi w:val="0"/>
        <w:adjustRightInd w:val="0"/>
        <w:ind w:firstLine="560" w:firstLineChars="20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备注：</w:t>
      </w:r>
    </w:p>
    <w:p>
      <w:pPr>
        <w:keepNext w:val="0"/>
        <w:keepLines w:val="0"/>
        <w:pageBreakBefore w:val="0"/>
        <w:widowControl w:val="0"/>
        <w:kinsoku/>
        <w:wordWrap/>
        <w:overflowPunct/>
        <w:topLinePunct w:val="0"/>
        <w:autoSpaceDE w:val="0"/>
        <w:autoSpaceDN w:val="0"/>
        <w:bidi w:val="0"/>
        <w:adjustRightInd w:val="0"/>
        <w:ind w:firstLine="560" w:firstLineChars="200"/>
        <w:textAlignment w:val="auto"/>
        <w:outlineLvl w:val="9"/>
        <w:rPr>
          <w:rFonts w:hint="eastAsia" w:ascii="仿宋" w:hAnsi="仿宋" w:eastAsia="仿宋" w:cs="??_GB2312"/>
          <w:color w:val="000000" w:themeColor="text1"/>
          <w:kern w:val="0"/>
          <w:sz w:val="28"/>
          <w:szCs w:val="28"/>
          <w:lang w:eastAsia="zh-CN"/>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表中所列服务为对应本项目需求的全部服务内容。如有漏项或缺项，供应商承担全部责任。</w:t>
      </w:r>
      <w:r>
        <w:rPr>
          <w:rFonts w:hint="eastAsia" w:ascii="仿宋" w:hAnsi="仿宋" w:eastAsia="仿宋" w:cs="??_GB2312"/>
          <w:color w:val="000000" w:themeColor="text1"/>
          <w:kern w:val="0"/>
          <w:sz w:val="28"/>
          <w:szCs w:val="28"/>
          <w:lang w:eastAsia="zh-CN"/>
          <w14:textFill>
            <w14:solidFill>
              <w14:schemeClr w14:val="tx1"/>
            </w14:solidFill>
          </w14:textFill>
        </w:rPr>
        <w:t>本项目进行一次性报价，不进行二轮报价。</w:t>
      </w:r>
    </w:p>
    <w:p>
      <w:pPr>
        <w:keepNext w:val="0"/>
        <w:keepLines w:val="0"/>
        <w:pageBreakBefore w:val="0"/>
        <w:widowControl w:val="0"/>
        <w:kinsoku/>
        <w:wordWrap/>
        <w:overflowPunct/>
        <w:topLinePunct w:val="0"/>
        <w:bidi w:val="0"/>
        <w:adjustRightInd w:val="0"/>
        <w:snapToGrid w:val="0"/>
        <w:spacing w:line="360" w:lineRule="auto"/>
        <w:jc w:val="left"/>
        <w:textAlignment w:val="auto"/>
        <w:outlineLvl w:val="9"/>
        <w:rPr>
          <w:rFonts w:ascii="仿宋" w:hAnsi="仿宋" w:eastAsia="仿宋" w:cs="??_GB2312"/>
          <w:color w:val="000000" w:themeColor="text1"/>
          <w:kern w:val="0"/>
          <w:sz w:val="28"/>
          <w:szCs w:val="28"/>
          <w14:textFill>
            <w14:solidFill>
              <w14:schemeClr w14:val="tx1"/>
            </w14:solidFill>
          </w14:textFill>
        </w:rPr>
      </w:pPr>
    </w:p>
    <w:p>
      <w:pPr>
        <w:adjustRightInd w:val="0"/>
        <w:snapToGrid w:val="0"/>
        <w:spacing w:line="360" w:lineRule="auto"/>
        <w:jc w:val="left"/>
        <w:rPr>
          <w:rFonts w:ascii="仿宋" w:hAnsi="仿宋" w:eastAsia="仿宋" w:cs="??_GB2312"/>
          <w:color w:val="000000" w:themeColor="text1"/>
          <w:kern w:val="0"/>
          <w:sz w:val="28"/>
          <w:szCs w:val="28"/>
          <w14:textFill>
            <w14:solidFill>
              <w14:schemeClr w14:val="tx1"/>
            </w14:solidFill>
          </w14:textFill>
        </w:rPr>
      </w:pPr>
    </w:p>
    <w:p>
      <w:pPr>
        <w:adjustRightInd w:val="0"/>
        <w:snapToGrid w:val="0"/>
        <w:spacing w:line="360" w:lineRule="auto"/>
        <w:jc w:val="left"/>
        <w:rPr>
          <w:rFonts w:ascii="仿宋" w:hAnsi="仿宋" w:eastAsia="仿宋" w:cs="??_GB2312"/>
          <w:color w:val="000000" w:themeColor="text1"/>
          <w:kern w:val="0"/>
          <w:sz w:val="28"/>
          <w:szCs w:val="28"/>
          <w14:textFill>
            <w14:solidFill>
              <w14:schemeClr w14:val="tx1"/>
            </w14:solidFill>
          </w14:textFill>
        </w:rPr>
      </w:pPr>
    </w:p>
    <w:p>
      <w:pPr>
        <w:adjustRightInd w:val="0"/>
        <w:snapToGrid w:val="0"/>
        <w:spacing w:line="360" w:lineRule="auto"/>
        <w:jc w:val="both"/>
        <w:rPr>
          <w:rFonts w:ascii="仿宋" w:hAnsi="仿宋" w:eastAsia="仿宋" w:cs="??_GB2312"/>
          <w:color w:val="000000" w:themeColor="text1"/>
          <w:kern w:val="0"/>
          <w:sz w:val="28"/>
          <w:szCs w:val="28"/>
          <w14:textFill>
            <w14:solidFill>
              <w14:schemeClr w14:val="tx1"/>
            </w14:solidFill>
          </w14:textFill>
        </w:rPr>
      </w:pPr>
      <w:r>
        <w:rPr>
          <w:rFonts w:ascii="仿宋" w:hAnsi="仿宋" w:eastAsia="仿宋" w:cs="??_GB2312"/>
          <w:color w:val="000000" w:themeColor="text1"/>
          <w:kern w:val="0"/>
          <w:sz w:val="28"/>
          <w:szCs w:val="28"/>
          <w14:textFill>
            <w14:solidFill>
              <w14:schemeClr w14:val="tx1"/>
            </w14:solidFill>
          </w14:textFill>
        </w:rPr>
        <w:br w:type="page"/>
      </w:r>
    </w:p>
    <w:p>
      <w:pPr>
        <w:keepNext w:val="0"/>
        <w:keepLines w:val="0"/>
        <w:pageBreakBefore w:val="0"/>
        <w:kinsoku/>
        <w:wordWrap/>
        <w:overflowPunct/>
        <w:topLinePunct w:val="0"/>
        <w:bidi w:val="0"/>
        <w:jc w:val="center"/>
        <w:textAlignment w:val="auto"/>
        <w:outlineLvl w:val="9"/>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lang w:eastAsia="zh-CN"/>
          <w14:textFill>
            <w14:solidFill>
              <w14:schemeClr w14:val="tx1"/>
            </w14:solidFill>
          </w14:textFill>
        </w:rPr>
        <w:t>二</w:t>
      </w:r>
      <w:r>
        <w:rPr>
          <w:rFonts w:hint="eastAsia" w:ascii="黑体" w:hAnsi="黑体" w:eastAsia="黑体"/>
          <w:color w:val="000000" w:themeColor="text1"/>
          <w:sz w:val="28"/>
          <w:szCs w:val="28"/>
          <w14:textFill>
            <w14:solidFill>
              <w14:schemeClr w14:val="tx1"/>
            </w14:solidFill>
          </w14:textFill>
        </w:rPr>
        <w:t>、 磋商响应函</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根据贵方的竞争性磋商邀请公告，我方兹宣布同意如下：</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1.如我公司成交，我公司承诺愿意按磋商文件规定缴纳履约保证金和成交服务费。按本次磋商文件规定及最后报价承诺服务。</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2.我方根据本次磋商文件的规定，严格履行合同的责任和义务,并保证于买方要求的日期内完成服务，并通过买方验收。</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3.我方承诺报价低于同类服务的市场平均价格。</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我方已详细审核本次磋商文件，包括磋商文件附件、参考资料、磋商文件修改书或图纸（如有），我方正式认可并遵守本次磋商文件，并对磋商文件各项条款、规定及要求均无异议。我方知道必须放弃提出含糊不清或误解问题的权利。</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5.我方同意从供应商须知规定的磋商日期起遵循本磋商文件，并在供应商须知规定的磋商有效期之前均具有约束力。</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6.我方承诺如磋商保证金未在磋商文件规定时间前到达贵方指定的账户，我方磋商无效，由此产生的一切后果由我方承担，且承诺磋商保证金转出账户真实有效。</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7.我方同意按贵方要求在磋商现场规定时间内向贵方提供与其磋商有关的任何证据或补充资料，否则，我方的响应文件可被贵方拒绝。</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8.我方完全理解贵方不一定接受最低报价的磋商。</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9.我方同意磋商文件规定的付款方式、服务期限。</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10.我方对响应文件中所提供资料、文件、证书及证件的真实性和有效性负责。</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11.与本磋商有关的通讯地址：</w:t>
      </w:r>
      <w:r>
        <w:rPr>
          <w:rFonts w:hint="eastAsia" w:ascii="仿宋" w:hAnsi="仿宋" w:eastAsia="仿宋"/>
          <w:color w:val="000000" w:themeColor="text1"/>
          <w:sz w:val="28"/>
          <w:szCs w:val="28"/>
          <w:u w:val="single"/>
          <w14:textFill>
            <w14:solidFill>
              <w14:schemeClr w14:val="tx1"/>
            </w14:solidFill>
          </w14:textFill>
        </w:rPr>
        <w:t xml:space="preserve">                     </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adjustRightInd w:val="0"/>
        <w:snapToGrid w:val="0"/>
        <w:spacing w:line="360" w:lineRule="auto"/>
        <w:ind w:firstLine="2380" w:firstLineChars="85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供应商</w:t>
      </w:r>
      <w:r>
        <w:rPr>
          <w:rFonts w:hint="eastAsia" w:ascii="仿宋" w:hAnsi="仿宋" w:eastAsia="仿宋"/>
          <w:color w:val="000000" w:themeColor="text1"/>
          <w:sz w:val="28"/>
          <w:szCs w:val="28"/>
          <w:lang w:val="en-US" w:eastAsia="zh-CN"/>
          <w14:textFill>
            <w14:solidFill>
              <w14:schemeClr w14:val="tx1"/>
            </w14:solidFill>
          </w14:textFill>
        </w:rPr>
        <w:t>盖</w:t>
      </w:r>
      <w:r>
        <w:rPr>
          <w:rFonts w:hint="eastAsia" w:ascii="仿宋" w:hAnsi="仿宋" w:eastAsia="仿宋"/>
          <w:color w:val="000000" w:themeColor="text1"/>
          <w:sz w:val="28"/>
          <w:szCs w:val="28"/>
          <w14:textFill>
            <w14:solidFill>
              <w14:schemeClr w14:val="tx1"/>
            </w14:solidFill>
          </w14:textFill>
        </w:rPr>
        <w:t>章：</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       </w:t>
      </w:r>
    </w:p>
    <w:p>
      <w:pPr>
        <w:keepNext w:val="0"/>
        <w:keepLines w:val="0"/>
        <w:pageBreakBefore w:val="0"/>
        <w:kinsoku/>
        <w:wordWrap/>
        <w:overflowPunct/>
        <w:topLinePunct w:val="0"/>
        <w:bidi w:val="0"/>
        <w:adjustRightInd w:val="0"/>
        <w:snapToGrid w:val="0"/>
        <w:spacing w:line="360" w:lineRule="auto"/>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日             期：</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spacing w:line="360" w:lineRule="auto"/>
        <w:ind w:firstLine="137" w:firstLineChars="49"/>
        <w:jc w:val="left"/>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kinsoku/>
        <w:wordWrap/>
        <w:overflowPunct/>
        <w:topLinePunct w:val="0"/>
        <w:bidi w:val="0"/>
        <w:spacing w:line="360" w:lineRule="auto"/>
        <w:ind w:firstLine="137" w:firstLineChars="49"/>
        <w:jc w:val="left"/>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kinsoku/>
        <w:wordWrap/>
        <w:overflowPunct/>
        <w:topLinePunct w:val="0"/>
        <w:bidi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ascii="仿宋" w:hAnsi="仿宋" w:eastAsia="仿宋" w:cs="??_GB2312"/>
          <w:color w:val="000000" w:themeColor="text1"/>
          <w:kern w:val="0"/>
          <w:sz w:val="28"/>
          <w:szCs w:val="28"/>
          <w14:textFill>
            <w14:solidFill>
              <w14:schemeClr w14:val="tx1"/>
            </w14:solidFill>
          </w14:textFill>
        </w:rPr>
        <w:br w:type="page"/>
      </w:r>
    </w:p>
    <w:p>
      <w:pPr>
        <w:keepNext w:val="0"/>
        <w:keepLines w:val="0"/>
        <w:pageBreakBefore w:val="0"/>
        <w:kinsoku/>
        <w:wordWrap/>
        <w:overflowPunct/>
        <w:topLinePunct w:val="0"/>
        <w:bidi w:val="0"/>
        <w:jc w:val="center"/>
        <w:textAlignment w:val="auto"/>
        <w:outlineLvl w:val="9"/>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lang w:eastAsia="zh-CN"/>
          <w14:textFill>
            <w14:solidFill>
              <w14:schemeClr w14:val="tx1"/>
            </w14:solidFill>
          </w14:textFill>
        </w:rPr>
        <w:t>三</w:t>
      </w:r>
      <w:r>
        <w:rPr>
          <w:rFonts w:hint="eastAsia" w:ascii="黑体" w:hAnsi="黑体" w:eastAsia="黑体"/>
          <w:color w:val="000000" w:themeColor="text1"/>
          <w:sz w:val="28"/>
          <w:szCs w:val="28"/>
          <w14:textFill>
            <w14:solidFill>
              <w14:schemeClr w14:val="tx1"/>
            </w14:solidFill>
          </w14:textFill>
        </w:rPr>
        <w:t>、池州市政府采购供应商信用承诺书</w:t>
      </w:r>
    </w:p>
    <w:tbl>
      <w:tblPr>
        <w:tblStyle w:val="3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单位名称</w:t>
            </w:r>
          </w:p>
        </w:tc>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textAlignment w:val="auto"/>
              <w:outlineLvl w:val="9"/>
              <w:rPr>
                <w:rFonts w:ascii="仿宋" w:hAnsi="仿宋" w:eastAsia="仿宋"/>
                <w:color w:val="000000" w:themeColor="text1"/>
                <w:sz w:val="28"/>
                <w:szCs w:val="28"/>
                <w14:textFill>
                  <w14:solidFill>
                    <w14:schemeClr w14:val="tx1"/>
                  </w14:solidFill>
                </w14:textFill>
              </w:rPr>
            </w:pPr>
          </w:p>
        </w:tc>
        <w:tc>
          <w:tcPr>
            <w:tcW w:w="21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统一社会信用代码</w:t>
            </w:r>
          </w:p>
        </w:tc>
        <w:tc>
          <w:tcPr>
            <w:tcW w:w="21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textAlignment w:val="auto"/>
              <w:outlineLvl w:val="9"/>
              <w:rPr>
                <w:rFonts w:ascii="仿宋" w:hAnsi="仿宋" w:eastAsia="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法定代表人</w:t>
            </w:r>
          </w:p>
        </w:tc>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textAlignment w:val="auto"/>
              <w:outlineLvl w:val="9"/>
              <w:rPr>
                <w:rFonts w:ascii="仿宋" w:hAnsi="仿宋" w:eastAsia="仿宋"/>
                <w:color w:val="000000" w:themeColor="text1"/>
                <w:sz w:val="28"/>
                <w:szCs w:val="28"/>
                <w14:textFill>
                  <w14:solidFill>
                    <w14:schemeClr w14:val="tx1"/>
                  </w14:solidFill>
                </w14:textFill>
              </w:rPr>
            </w:pPr>
          </w:p>
        </w:tc>
        <w:tc>
          <w:tcPr>
            <w:tcW w:w="21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联系人</w:t>
            </w:r>
          </w:p>
        </w:tc>
        <w:tc>
          <w:tcPr>
            <w:tcW w:w="21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textAlignment w:val="auto"/>
              <w:outlineLvl w:val="9"/>
              <w:rPr>
                <w:rFonts w:ascii="仿宋" w:hAnsi="仿宋" w:eastAsia="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联系地址</w:t>
            </w:r>
          </w:p>
        </w:tc>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textAlignment w:val="auto"/>
              <w:outlineLvl w:val="9"/>
              <w:rPr>
                <w:rFonts w:ascii="仿宋" w:hAnsi="仿宋" w:eastAsia="仿宋"/>
                <w:color w:val="000000" w:themeColor="text1"/>
                <w:sz w:val="28"/>
                <w:szCs w:val="28"/>
                <w14:textFill>
                  <w14:solidFill>
                    <w14:schemeClr w14:val="tx1"/>
                  </w14:solidFill>
                </w14:textFill>
              </w:rPr>
            </w:pPr>
          </w:p>
        </w:tc>
        <w:tc>
          <w:tcPr>
            <w:tcW w:w="21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联系电话</w:t>
            </w:r>
          </w:p>
        </w:tc>
        <w:tc>
          <w:tcPr>
            <w:tcW w:w="2131"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textAlignment w:val="auto"/>
              <w:outlineLvl w:val="9"/>
              <w:rPr>
                <w:rFonts w:ascii="仿宋" w:hAnsi="仿宋" w:eastAsia="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7" w:hRule="atLeast"/>
        </w:trPr>
        <w:tc>
          <w:tcPr>
            <w:tcW w:w="2130" w:type="dxa"/>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jc w:val="center"/>
              <w:textAlignment w:val="auto"/>
              <w:outlineLvl w:val="9"/>
              <w:rPr>
                <w:rFonts w:ascii="仿宋" w:hAnsi="仿宋" w:eastAsia="仿宋" w:cstheme="minorBidi"/>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信</w:t>
            </w:r>
          </w:p>
          <w:p>
            <w:pPr>
              <w:keepNext w:val="0"/>
              <w:keepLines w:val="0"/>
              <w:pageBreakBefore w:val="0"/>
              <w:kinsoku/>
              <w:wordWrap/>
              <w:overflowPunct/>
              <w:topLinePunct w:val="0"/>
              <w:bidi w:val="0"/>
              <w:jc w:val="center"/>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用</w:t>
            </w:r>
          </w:p>
          <w:p>
            <w:pPr>
              <w:keepNext w:val="0"/>
              <w:keepLines w:val="0"/>
              <w:pageBreakBefore w:val="0"/>
              <w:kinsoku/>
              <w:wordWrap/>
              <w:overflowPunct/>
              <w:topLinePunct w:val="0"/>
              <w:bidi w:val="0"/>
              <w:jc w:val="center"/>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承</w:t>
            </w:r>
          </w:p>
          <w:p>
            <w:pPr>
              <w:keepNext w:val="0"/>
              <w:keepLines w:val="0"/>
              <w:pageBreakBefore w:val="0"/>
              <w:kinsoku/>
              <w:wordWrap/>
              <w:overflowPunct/>
              <w:topLinePunct w:val="0"/>
              <w:bidi w:val="0"/>
              <w:jc w:val="center"/>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诺</w:t>
            </w:r>
          </w:p>
        </w:tc>
        <w:tc>
          <w:tcPr>
            <w:tcW w:w="6392" w:type="dxa"/>
            <w:gridSpan w:val="3"/>
            <w:tcBorders>
              <w:top w:val="single" w:color="auto" w:sz="4" w:space="0"/>
              <w:left w:val="single" w:color="auto" w:sz="4" w:space="0"/>
              <w:bottom w:val="single" w:color="auto" w:sz="4" w:space="0"/>
              <w:right w:val="single" w:color="auto" w:sz="4" w:space="0"/>
            </w:tcBorders>
          </w:tcPr>
          <w:p>
            <w:pPr>
              <w:keepNext w:val="0"/>
              <w:keepLines w:val="0"/>
              <w:pageBreakBefore w:val="0"/>
              <w:kinsoku/>
              <w:wordWrap/>
              <w:overflowPunct/>
              <w:topLinePunct w:val="0"/>
              <w:bidi w:val="0"/>
              <w:ind w:firstLine="540"/>
              <w:textAlignment w:val="auto"/>
              <w:outlineLvl w:val="9"/>
              <w:rPr>
                <w:rFonts w:ascii="仿宋" w:hAnsi="仿宋" w:eastAsia="仿宋" w:cstheme="minorBidi"/>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我公司自愿参加本次采购活动，严格遵守《中华人民共和国政府采购法》及相关法律法规，坚守公开、公平公正和诚实信用的原则，依法诚信经营，无条件遵守本次政府采购活动的各项规定。我们郑重承诺，本公司符合《政府采购法》第二十二条规定的条件，包括：具有独立承担民事责任的能力；具有良好的商业信誉和健全的财务会计制度；有履行合同所必需的设备和专业技术能力；有依法缴纳税收和社会保障资金的良好记录；参加政府采购活动前三年内，在经营活动中没有重大违法记录；符合法律、行政法规和采购文件规定的其他条件。如有弄虚作假或其他违法违规行为，愿承担一切法律责任，接受各级政府采购监管部门和有权机关的审查和处罚。.</w:t>
            </w:r>
          </w:p>
          <w:p>
            <w:pPr>
              <w:keepNext w:val="0"/>
              <w:keepLines w:val="0"/>
              <w:pageBreakBefore w:val="0"/>
              <w:kinsoku/>
              <w:wordWrap/>
              <w:overflowPunct/>
              <w:topLinePunct w:val="0"/>
              <w:bidi w:val="0"/>
              <w:ind w:firstLine="54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w:t>
            </w:r>
          </w:p>
          <w:p>
            <w:pPr>
              <w:keepNext w:val="0"/>
              <w:keepLines w:val="0"/>
              <w:pageBreakBefore w:val="0"/>
              <w:kinsoku/>
              <w:wordWrap/>
              <w:overflowPunct/>
              <w:topLinePunct w:val="0"/>
              <w:bidi w:val="0"/>
              <w:ind w:firstLine="54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ind w:firstLine="54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ind w:firstLine="54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ind w:firstLine="54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ind w:firstLine="54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ind w:firstLine="54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ind w:firstLine="2217" w:firstLineChars="792"/>
              <w:textAlignment w:val="auto"/>
              <w:outlineLvl w:val="9"/>
              <w:rPr>
                <w:rFonts w:ascii="仿宋" w:hAnsi="仿宋" w:eastAsia="仿宋"/>
                <w:color w:val="000000" w:themeColor="text1"/>
                <w:sz w:val="28"/>
                <w:szCs w:val="28"/>
                <w:u w:val="single"/>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供应商</w:t>
            </w:r>
            <w:r>
              <w:rPr>
                <w:rFonts w:hint="eastAsia" w:ascii="仿宋" w:hAnsi="仿宋" w:eastAsia="仿宋"/>
                <w:color w:val="000000" w:themeColor="text1"/>
                <w:sz w:val="28"/>
                <w:szCs w:val="28"/>
                <w:lang w:val="en-US" w:eastAsia="zh-CN"/>
                <w14:textFill>
                  <w14:solidFill>
                    <w14:schemeClr w14:val="tx1"/>
                  </w14:solidFill>
                </w14:textFill>
              </w:rPr>
              <w:t>盖</w:t>
            </w:r>
            <w:r>
              <w:rPr>
                <w:rFonts w:hint="eastAsia" w:ascii="仿宋" w:hAnsi="仿宋" w:eastAsia="仿宋"/>
                <w:color w:val="000000" w:themeColor="text1"/>
                <w:sz w:val="28"/>
                <w:szCs w:val="28"/>
                <w14:textFill>
                  <w14:solidFill>
                    <w14:schemeClr w14:val="tx1"/>
                  </w14:solidFill>
                </w14:textFill>
              </w:rPr>
              <w:t>章：</w:t>
            </w:r>
            <w:r>
              <w:rPr>
                <w:rFonts w:hint="eastAsia" w:ascii="仿宋" w:hAnsi="仿宋" w:eastAsia="仿宋"/>
                <w:color w:val="000000" w:themeColor="text1"/>
                <w:sz w:val="28"/>
                <w:szCs w:val="28"/>
                <w:u w:val="single"/>
                <w14:textFill>
                  <w14:solidFill>
                    <w14:schemeClr w14:val="tx1"/>
                  </w14:solidFill>
                </w14:textFill>
              </w:rPr>
              <w:t xml:space="preserve">           </w:t>
            </w:r>
          </w:p>
          <w:p>
            <w:pPr>
              <w:keepNext w:val="0"/>
              <w:keepLines w:val="0"/>
              <w:pageBreakBefore w:val="0"/>
              <w:kinsoku/>
              <w:wordWrap/>
              <w:overflowPunct/>
              <w:topLinePunct w:val="0"/>
              <w:bidi w:val="0"/>
              <w:ind w:firstLine="54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日期：</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年 </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tc>
      </w:tr>
    </w:tbl>
    <w:p>
      <w:pPr>
        <w:keepNext w:val="0"/>
        <w:keepLines w:val="0"/>
        <w:pageBreakBefore w:val="0"/>
        <w:kinsoku/>
        <w:wordWrap/>
        <w:overflowPunct/>
        <w:topLinePunct w:val="0"/>
        <w:bidi w:val="0"/>
        <w:spacing w:line="360" w:lineRule="auto"/>
        <w:ind w:firstLine="137" w:firstLineChars="49"/>
        <w:jc w:val="left"/>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spacing w:line="360" w:lineRule="auto"/>
        <w:ind w:firstLine="137" w:firstLineChars="49"/>
        <w:jc w:val="left"/>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spacing w:line="360" w:lineRule="auto"/>
        <w:ind w:firstLine="137" w:firstLineChars="49"/>
        <w:jc w:val="left"/>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kinsoku/>
        <w:wordWrap/>
        <w:overflowPunct/>
        <w:topLinePunct w:val="0"/>
        <w:bidi w:val="0"/>
        <w:spacing w:line="360" w:lineRule="auto"/>
        <w:ind w:firstLine="137" w:firstLineChars="49"/>
        <w:jc w:val="center"/>
        <w:textAlignment w:val="auto"/>
        <w:outlineLvl w:val="9"/>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br w:type="page"/>
      </w:r>
    </w:p>
    <w:p>
      <w:pPr>
        <w:keepNext w:val="0"/>
        <w:keepLines w:val="0"/>
        <w:pageBreakBefore w:val="0"/>
        <w:kinsoku/>
        <w:wordWrap/>
        <w:overflowPunct/>
        <w:topLinePunct w:val="0"/>
        <w:bidi w:val="0"/>
        <w:spacing w:line="360" w:lineRule="auto"/>
        <w:ind w:firstLine="137" w:firstLineChars="49"/>
        <w:jc w:val="center"/>
        <w:textAlignment w:val="auto"/>
        <w:outlineLvl w:val="9"/>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lang w:eastAsia="zh-CN"/>
          <w14:textFill>
            <w14:solidFill>
              <w14:schemeClr w14:val="tx1"/>
            </w14:solidFill>
          </w14:textFill>
        </w:rPr>
        <w:t>四</w:t>
      </w:r>
      <w:r>
        <w:rPr>
          <w:rFonts w:hint="eastAsia" w:ascii="黑体" w:hAnsi="黑体" w:eastAsia="黑体"/>
          <w:color w:val="000000" w:themeColor="text1"/>
          <w:sz w:val="28"/>
          <w:szCs w:val="28"/>
          <w14:textFill>
            <w14:solidFill>
              <w14:schemeClr w14:val="tx1"/>
            </w14:solidFill>
          </w14:textFill>
        </w:rPr>
        <w:t>、无重大违法记录声明函、无不良信用记录声明函</w:t>
      </w:r>
    </w:p>
    <w:p>
      <w:pPr>
        <w:keepNext w:val="0"/>
        <w:keepLines w:val="0"/>
        <w:pageBreakBefore w:val="0"/>
        <w:kinsoku/>
        <w:wordWrap/>
        <w:overflowPunct/>
        <w:topLinePunct w:val="0"/>
        <w:bidi w:val="0"/>
        <w:spacing w:line="360" w:lineRule="auto"/>
        <w:ind w:firstLine="560" w:firstLineChars="200"/>
        <w:jc w:val="center"/>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（联合体报价的，联合体各方均须提供）</w:t>
      </w:r>
    </w:p>
    <w:p>
      <w:pPr>
        <w:keepNext w:val="0"/>
        <w:keepLines w:val="0"/>
        <w:pageBreakBefore w:val="0"/>
        <w:kinsoku/>
        <w:wordWrap/>
        <w:overflowPunct/>
        <w:topLinePunct w:val="0"/>
        <w:bidi w:val="0"/>
        <w:ind w:firstLine="57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pPr>
        <w:keepNext w:val="0"/>
        <w:keepLines w:val="0"/>
        <w:pageBreakBefore w:val="0"/>
        <w:kinsoku/>
        <w:wordWrap/>
        <w:overflowPunct/>
        <w:topLinePunct w:val="0"/>
        <w:bidi w:val="0"/>
        <w:ind w:firstLine="57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2、本单位郑重声明，我单位无以下不良信用记录情形</w:t>
      </w:r>
    </w:p>
    <w:p>
      <w:pPr>
        <w:keepNext w:val="0"/>
        <w:keepLines w:val="0"/>
        <w:pageBreakBefore w:val="0"/>
        <w:kinsoku/>
        <w:wordWrap/>
        <w:overflowPunct/>
        <w:topLinePunct w:val="0"/>
        <w:bidi w:val="0"/>
        <w:ind w:firstLine="57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（1）被人民法院列入失信被执行人的；</w:t>
      </w:r>
    </w:p>
    <w:p>
      <w:pPr>
        <w:keepNext w:val="0"/>
        <w:keepLines w:val="0"/>
        <w:pageBreakBefore w:val="0"/>
        <w:kinsoku/>
        <w:wordWrap/>
        <w:overflowPunct/>
        <w:topLinePunct w:val="0"/>
        <w:bidi w:val="0"/>
        <w:ind w:firstLine="57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（2）单位、其法定代表人或拟派项目经理（项目负责人）被人民检察院列入行贿犯罪档案的；</w:t>
      </w:r>
    </w:p>
    <w:p>
      <w:pPr>
        <w:keepNext w:val="0"/>
        <w:keepLines w:val="0"/>
        <w:pageBreakBefore w:val="0"/>
        <w:kinsoku/>
        <w:wordWrap/>
        <w:overflowPunct/>
        <w:topLinePunct w:val="0"/>
        <w:bidi w:val="0"/>
        <w:ind w:firstLine="57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（3）被</w:t>
      </w:r>
      <w:r>
        <w:rPr>
          <w:rFonts w:hint="eastAsia" w:ascii="仿宋" w:hAnsi="仿宋" w:eastAsia="仿宋"/>
          <w:bCs/>
          <w:color w:val="000000" w:themeColor="text1"/>
          <w:spacing w:val="8"/>
          <w:sz w:val="28"/>
          <w:szCs w:val="28"/>
          <w14:textFill>
            <w14:solidFill>
              <w14:schemeClr w14:val="tx1"/>
            </w14:solidFill>
          </w14:textFill>
        </w:rPr>
        <w:t>市场监督管理部门</w:t>
      </w:r>
      <w:r>
        <w:rPr>
          <w:rFonts w:hint="eastAsia" w:ascii="仿宋" w:hAnsi="仿宋" w:eastAsia="仿宋"/>
          <w:color w:val="000000" w:themeColor="text1"/>
          <w:sz w:val="28"/>
          <w:szCs w:val="28"/>
          <w14:textFill>
            <w14:solidFill>
              <w14:schemeClr w14:val="tx1"/>
            </w14:solidFill>
          </w14:textFill>
        </w:rPr>
        <w:t>列入企业经营异常名录的；</w:t>
      </w:r>
    </w:p>
    <w:p>
      <w:pPr>
        <w:keepNext w:val="0"/>
        <w:keepLines w:val="0"/>
        <w:pageBreakBefore w:val="0"/>
        <w:kinsoku/>
        <w:wordWrap/>
        <w:overflowPunct/>
        <w:topLinePunct w:val="0"/>
        <w:bidi w:val="0"/>
        <w:ind w:firstLine="57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（4）被税务部门列入重大税收违法案件当事人名单的；</w:t>
      </w:r>
    </w:p>
    <w:p>
      <w:pPr>
        <w:keepNext w:val="0"/>
        <w:keepLines w:val="0"/>
        <w:pageBreakBefore w:val="0"/>
        <w:kinsoku/>
        <w:wordWrap/>
        <w:overflowPunct/>
        <w:topLinePunct w:val="0"/>
        <w:bidi w:val="0"/>
        <w:ind w:firstLine="57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（5）被政府采购监管部门列入政府采购严重违法失信行为记录名单的。</w:t>
      </w:r>
    </w:p>
    <w:p>
      <w:pPr>
        <w:keepNext w:val="0"/>
        <w:keepLines w:val="0"/>
        <w:pageBreakBefore w:val="0"/>
        <w:kinsoku/>
        <w:wordWrap/>
        <w:overflowPunct/>
        <w:topLinePunct w:val="0"/>
        <w:bidi w:val="0"/>
        <w:ind w:firstLine="57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我公司已就上述不良信用行为按照下列渠道进行了查询。</w:t>
      </w:r>
    </w:p>
    <w:p>
      <w:pPr>
        <w:keepNext w:val="0"/>
        <w:keepLines w:val="0"/>
        <w:pageBreakBefore w:val="0"/>
        <w:kinsoku/>
        <w:wordWrap/>
        <w:overflowPunct/>
        <w:topLinePunct w:val="0"/>
        <w:bidi w:val="0"/>
        <w:spacing w:line="380" w:lineRule="atLeast"/>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（1）失信被执行人：信用中国官网（</w:t>
      </w:r>
      <w:r>
        <w:fldChar w:fldCharType="begin"/>
      </w:r>
      <w:r>
        <w:instrText xml:space="preserve"> HYPERLINK "http://www.creditchina.gov.cn" </w:instrText>
      </w:r>
      <w:r>
        <w:fldChar w:fldCharType="separate"/>
      </w:r>
      <w:r>
        <w:rPr>
          <w:rFonts w:hint="eastAsia" w:ascii="仿宋" w:hAnsi="仿宋" w:eastAsia="仿宋"/>
          <w:color w:val="000000" w:themeColor="text1"/>
          <w:sz w:val="28"/>
          <w:szCs w:val="28"/>
          <w:u w:val="single"/>
          <w14:textFill>
            <w14:solidFill>
              <w14:schemeClr w14:val="tx1"/>
            </w14:solidFill>
          </w14:textFill>
        </w:rPr>
        <w:t>http://www.creditchina.gov.cn</w:t>
      </w:r>
      <w:r>
        <w:rPr>
          <w:rFonts w:hint="eastAsia" w:ascii="仿宋" w:hAnsi="仿宋" w:eastAsia="仿宋"/>
          <w:color w:val="000000" w:themeColor="text1"/>
          <w:sz w:val="28"/>
          <w:szCs w:val="28"/>
          <w:u w:val="single"/>
          <w14:textFill>
            <w14:solidFill>
              <w14:schemeClr w14:val="tx1"/>
            </w14:solidFill>
          </w14:textFill>
        </w:rPr>
        <w:fldChar w:fldCharType="end"/>
      </w:r>
      <w:r>
        <w:rPr>
          <w:rFonts w:hint="eastAsia" w:ascii="仿宋" w:hAnsi="仿宋" w:eastAsia="仿宋"/>
          <w:color w:val="000000" w:themeColor="text1"/>
          <w:sz w:val="28"/>
          <w:szCs w:val="28"/>
          <w14:textFill>
            <w14:solidFill>
              <w14:schemeClr w14:val="tx1"/>
            </w14:solidFill>
          </w14:textFill>
        </w:rPr>
        <w:t>）</w:t>
      </w:r>
    </w:p>
    <w:p>
      <w:pPr>
        <w:keepNext w:val="0"/>
        <w:keepLines w:val="0"/>
        <w:pageBreakBefore w:val="0"/>
        <w:kinsoku/>
        <w:wordWrap/>
        <w:overflowPunct/>
        <w:topLinePunct w:val="0"/>
        <w:bidi w:val="0"/>
        <w:spacing w:line="380" w:lineRule="atLeast"/>
        <w:ind w:firstLine="560" w:firstLineChars="200"/>
        <w:textAlignment w:val="auto"/>
        <w:outlineLvl w:val="9"/>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（2）行贿犯罪档案：中国裁判文书网（</w:t>
      </w:r>
      <w:r>
        <w:fldChar w:fldCharType="begin"/>
      </w:r>
      <w:r>
        <w:instrText xml:space="preserve"> HYPERLINK "http://wenshu.court.gov.cn/" </w:instrText>
      </w:r>
      <w:r>
        <w:fldChar w:fldCharType="separate"/>
      </w:r>
      <w:r>
        <w:rPr>
          <w:rFonts w:hint="eastAsia" w:ascii="仿宋" w:hAnsi="仿宋" w:eastAsia="仿宋" w:cs="宋体"/>
          <w:color w:val="000000" w:themeColor="text1"/>
          <w:kern w:val="0"/>
          <w:sz w:val="28"/>
          <w:szCs w:val="28"/>
          <w:u w:val="single"/>
          <w14:textFill>
            <w14:solidFill>
              <w14:schemeClr w14:val="tx1"/>
            </w14:solidFill>
          </w14:textFill>
        </w:rPr>
        <w:t>wenshu.court.gov.cn</w:t>
      </w:r>
      <w:r>
        <w:rPr>
          <w:rFonts w:hint="eastAsia" w:ascii="仿宋" w:hAnsi="仿宋" w:eastAsia="仿宋" w:cs="宋体"/>
          <w:color w:val="000000" w:themeColor="text1"/>
          <w:kern w:val="0"/>
          <w:sz w:val="28"/>
          <w:szCs w:val="28"/>
          <w:u w:val="single"/>
          <w14:textFill>
            <w14:solidFill>
              <w14:schemeClr w14:val="tx1"/>
            </w14:solidFill>
          </w14:textFill>
        </w:rPr>
        <w:fldChar w:fldCharType="end"/>
      </w:r>
      <w:r>
        <w:rPr>
          <w:rFonts w:hint="eastAsia" w:ascii="仿宋" w:hAnsi="仿宋" w:eastAsia="仿宋"/>
          <w:color w:val="000000" w:themeColor="text1"/>
          <w:sz w:val="28"/>
          <w:szCs w:val="28"/>
          <w14:textFill>
            <w14:solidFill>
              <w14:schemeClr w14:val="tx1"/>
            </w14:solidFill>
          </w14:textFill>
        </w:rPr>
        <w:t>）；</w:t>
      </w:r>
    </w:p>
    <w:p>
      <w:pPr>
        <w:keepNext w:val="0"/>
        <w:keepLines w:val="0"/>
        <w:pageBreakBefore w:val="0"/>
        <w:kinsoku/>
        <w:wordWrap/>
        <w:overflowPunct/>
        <w:topLinePunct w:val="0"/>
        <w:bidi w:val="0"/>
        <w:spacing w:line="380" w:lineRule="atLeast"/>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（3）企业经营异常名录:信用中国官网（</w:t>
      </w:r>
      <w:r>
        <w:fldChar w:fldCharType="begin"/>
      </w:r>
      <w:r>
        <w:instrText xml:space="preserve"> HYPERLINK "http://www.creditchina.gov.cn" </w:instrText>
      </w:r>
      <w:r>
        <w:fldChar w:fldCharType="separate"/>
      </w:r>
      <w:r>
        <w:rPr>
          <w:rFonts w:hint="eastAsia" w:ascii="仿宋" w:hAnsi="仿宋" w:eastAsia="仿宋"/>
          <w:color w:val="000000" w:themeColor="text1"/>
          <w:sz w:val="28"/>
          <w:szCs w:val="28"/>
          <w:u w:val="single"/>
          <w14:textFill>
            <w14:solidFill>
              <w14:schemeClr w14:val="tx1"/>
            </w14:solidFill>
          </w14:textFill>
        </w:rPr>
        <w:t>www.creditchina.gov.cn</w:t>
      </w:r>
      <w:r>
        <w:rPr>
          <w:rFonts w:hint="eastAsia" w:ascii="仿宋" w:hAnsi="仿宋" w:eastAsia="仿宋"/>
          <w:color w:val="000000" w:themeColor="text1"/>
          <w:sz w:val="28"/>
          <w:szCs w:val="28"/>
          <w:u w:val="single"/>
          <w14:textFill>
            <w14:solidFill>
              <w14:schemeClr w14:val="tx1"/>
            </w14:solidFill>
          </w14:textFill>
        </w:rPr>
        <w:fldChar w:fldCharType="end"/>
      </w:r>
      <w:r>
        <w:rPr>
          <w:rFonts w:hint="eastAsia" w:ascii="仿宋" w:hAnsi="仿宋" w:eastAsia="仿宋"/>
          <w:color w:val="000000" w:themeColor="text1"/>
          <w:sz w:val="28"/>
          <w:szCs w:val="28"/>
          <w14:textFill>
            <w14:solidFill>
              <w14:schemeClr w14:val="tx1"/>
            </w14:solidFill>
          </w14:textFill>
        </w:rPr>
        <w:t>）</w:t>
      </w:r>
    </w:p>
    <w:p>
      <w:pPr>
        <w:spacing w:line="38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（4）重大税收违法案件当事人名单：信用中国官网（</w:t>
      </w:r>
      <w:r>
        <w:fldChar w:fldCharType="begin"/>
      </w:r>
      <w:r>
        <w:instrText xml:space="preserve"> HYPERLINK "http://www.creditchina.gov.cn" </w:instrText>
      </w:r>
      <w:r>
        <w:fldChar w:fldCharType="separate"/>
      </w:r>
      <w:r>
        <w:rPr>
          <w:rFonts w:hint="eastAsia" w:ascii="仿宋" w:hAnsi="仿宋" w:eastAsia="仿宋"/>
          <w:color w:val="000000" w:themeColor="text1"/>
          <w:sz w:val="28"/>
          <w:szCs w:val="28"/>
          <w:u w:val="single"/>
          <w14:textFill>
            <w14:solidFill>
              <w14:schemeClr w14:val="tx1"/>
            </w14:solidFill>
          </w14:textFill>
        </w:rPr>
        <w:t>www.creditchina.gov.cn</w:t>
      </w:r>
      <w:r>
        <w:rPr>
          <w:rFonts w:hint="eastAsia" w:ascii="仿宋" w:hAnsi="仿宋" w:eastAsia="仿宋"/>
          <w:color w:val="000000" w:themeColor="text1"/>
          <w:sz w:val="28"/>
          <w:szCs w:val="28"/>
          <w:u w:val="single"/>
          <w14:textFill>
            <w14:solidFill>
              <w14:schemeClr w14:val="tx1"/>
            </w14:solidFill>
          </w14:textFill>
        </w:rPr>
        <w:fldChar w:fldCharType="end"/>
      </w:r>
      <w:r>
        <w:rPr>
          <w:rFonts w:hint="eastAsia" w:ascii="仿宋" w:hAnsi="仿宋" w:eastAsia="仿宋"/>
          <w:color w:val="000000" w:themeColor="text1"/>
          <w:sz w:val="28"/>
          <w:szCs w:val="28"/>
          <w14:textFill>
            <w14:solidFill>
              <w14:schemeClr w14:val="tx1"/>
            </w14:solidFill>
          </w14:textFill>
        </w:rPr>
        <w:t>）</w:t>
      </w:r>
    </w:p>
    <w:p>
      <w:pPr>
        <w:spacing w:line="380" w:lineRule="atLeast"/>
        <w:ind w:firstLine="560" w:firstLineChars="20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（5）政府采购严重违法失信行为记录名单：信用中国官网（</w:t>
      </w:r>
      <w:r>
        <w:fldChar w:fldCharType="begin"/>
      </w:r>
      <w:r>
        <w:instrText xml:space="preserve"> HYPERLINK "http://www.creditchina.gov.cn" </w:instrText>
      </w:r>
      <w:r>
        <w:fldChar w:fldCharType="separate"/>
      </w:r>
      <w:r>
        <w:rPr>
          <w:rStyle w:val="42"/>
          <w:rFonts w:hint="eastAsia" w:ascii="仿宋" w:hAnsi="仿宋" w:eastAsia="仿宋"/>
          <w:color w:val="000000" w:themeColor="text1"/>
          <w:sz w:val="28"/>
          <w:szCs w:val="28"/>
          <w14:textFill>
            <w14:solidFill>
              <w14:schemeClr w14:val="tx1"/>
            </w14:solidFill>
          </w14:textFill>
        </w:rPr>
        <w:t>www.creditchina.gov.cn</w:t>
      </w:r>
      <w:r>
        <w:rPr>
          <w:rStyle w:val="42"/>
          <w:rFonts w:hint="eastAsia" w:ascii="仿宋" w:hAnsi="仿宋" w:eastAsia="仿宋"/>
          <w:color w:val="000000" w:themeColor="text1"/>
          <w:sz w:val="28"/>
          <w:szCs w:val="28"/>
          <w14:textFill>
            <w14:solidFill>
              <w14:schemeClr w14:val="tx1"/>
            </w14:solidFill>
          </w14:textFill>
        </w:rPr>
        <w:fldChar w:fldCharType="end"/>
      </w:r>
      <w:r>
        <w:rPr>
          <w:rFonts w:hint="eastAsia" w:ascii="仿宋" w:hAnsi="仿宋" w:eastAsia="仿宋"/>
          <w:color w:val="000000" w:themeColor="text1"/>
          <w:sz w:val="28"/>
          <w:szCs w:val="28"/>
          <w14:textFill>
            <w14:solidFill>
              <w14:schemeClr w14:val="tx1"/>
            </w14:solidFill>
          </w14:textFill>
        </w:rPr>
        <w:t>）或中国政府采购官网（</w:t>
      </w:r>
      <w:r>
        <w:fldChar w:fldCharType="begin"/>
      </w:r>
      <w:r>
        <w:instrText xml:space="preserve"> HYPERLINK "http://www.ccgp.gov.cn" </w:instrText>
      </w:r>
      <w:r>
        <w:fldChar w:fldCharType="separate"/>
      </w:r>
      <w:r>
        <w:rPr>
          <w:rStyle w:val="42"/>
          <w:rFonts w:hint="eastAsia" w:ascii="仿宋" w:hAnsi="仿宋" w:eastAsia="仿宋"/>
          <w:color w:val="000000" w:themeColor="text1"/>
          <w:sz w:val="28"/>
          <w:szCs w:val="28"/>
          <w14:textFill>
            <w14:solidFill>
              <w14:schemeClr w14:val="tx1"/>
            </w14:solidFill>
          </w14:textFill>
        </w:rPr>
        <w:t>http://www.ccgp.gov.cn</w:t>
      </w:r>
      <w:r>
        <w:rPr>
          <w:rStyle w:val="42"/>
          <w:rFonts w:hint="eastAsia" w:ascii="仿宋" w:hAnsi="仿宋" w:eastAsia="仿宋"/>
          <w:color w:val="000000" w:themeColor="text1"/>
          <w:sz w:val="28"/>
          <w:szCs w:val="28"/>
          <w14:textFill>
            <w14:solidFill>
              <w14:schemeClr w14:val="tx1"/>
            </w14:solidFill>
          </w14:textFill>
        </w:rPr>
        <w:fldChar w:fldCharType="end"/>
      </w:r>
      <w:r>
        <w:rPr>
          <w:rFonts w:hint="eastAsia" w:ascii="仿宋" w:hAnsi="仿宋" w:eastAsia="仿宋"/>
          <w:color w:val="000000" w:themeColor="text1"/>
          <w:sz w:val="28"/>
          <w:szCs w:val="28"/>
          <w14:textFill>
            <w14:solidFill>
              <w14:schemeClr w14:val="tx1"/>
            </w14:solidFill>
          </w14:textFill>
        </w:rPr>
        <w:t>）</w:t>
      </w:r>
    </w:p>
    <w:p>
      <w:pPr>
        <w:ind w:firstLine="57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我公司承诺：合同签订前，若我公司具有以上不良信用记录情形之一，贵方可取消我公司成交资格或者不授予合同，所有责任由我公司自行承担。同时，我公司愿意无条件接受监管部门的调查处理。</w:t>
      </w:r>
    </w:p>
    <w:p>
      <w:pPr>
        <w:ind w:firstLine="57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本公司对上述声明的真实性负责。如有虚假，将依法承担相应责任。</w:t>
      </w:r>
    </w:p>
    <w:p>
      <w:pPr>
        <w:adjustRightInd w:val="0"/>
        <w:snapToGrid w:val="0"/>
        <w:spacing w:line="360" w:lineRule="auto"/>
        <w:ind w:firstLine="2380" w:firstLineChars="85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供应商</w:t>
      </w:r>
      <w:r>
        <w:rPr>
          <w:rFonts w:hint="eastAsia" w:ascii="仿宋" w:hAnsi="仿宋" w:eastAsia="仿宋"/>
          <w:color w:val="000000" w:themeColor="text1"/>
          <w:sz w:val="28"/>
          <w:szCs w:val="28"/>
          <w:lang w:val="en-US" w:eastAsia="zh-CN"/>
          <w14:textFill>
            <w14:solidFill>
              <w14:schemeClr w14:val="tx1"/>
            </w14:solidFill>
          </w14:textFill>
        </w:rPr>
        <w:t>盖</w:t>
      </w:r>
      <w:r>
        <w:rPr>
          <w:rFonts w:hint="eastAsia" w:ascii="仿宋" w:hAnsi="仿宋" w:eastAsia="仿宋"/>
          <w:color w:val="000000" w:themeColor="text1"/>
          <w:sz w:val="28"/>
          <w:szCs w:val="28"/>
          <w14:textFill>
            <w14:solidFill>
              <w14:schemeClr w14:val="tx1"/>
            </w14:solidFill>
          </w14:textFill>
        </w:rPr>
        <w:t>章：</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       </w:t>
      </w:r>
    </w:p>
    <w:p>
      <w:pPr>
        <w:adjustRightInd w:val="0"/>
        <w:snapToGrid w:val="0"/>
        <w:spacing w:line="360" w:lineRule="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日             期：</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pPr>
        <w:rPr>
          <w:rFonts w:ascii="仿宋" w:hAnsi="仿宋" w:eastAsia="仿宋"/>
          <w:color w:val="000000" w:themeColor="text1"/>
          <w:sz w:val="28"/>
          <w:szCs w:val="28"/>
          <w14:textFill>
            <w14:solidFill>
              <w14:schemeClr w14:val="tx1"/>
            </w14:solidFill>
          </w14:textFill>
        </w:rPr>
      </w:pPr>
    </w:p>
    <w:p>
      <w:pPr>
        <w:spacing w:line="360" w:lineRule="auto"/>
        <w:ind w:firstLine="560" w:firstLineChars="200"/>
        <w:jc w:val="center"/>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br w:type="page"/>
      </w:r>
    </w:p>
    <w:p>
      <w:pPr>
        <w:spacing w:line="360" w:lineRule="auto"/>
        <w:ind w:firstLine="560" w:firstLineChars="200"/>
        <w:jc w:val="center"/>
        <w:rPr>
          <w:rFonts w:ascii="黑体" w:hAnsi="黑体" w:eastAsia="黑体" w:cs="宋体"/>
          <w:color w:val="000000" w:themeColor="text1"/>
          <w:sz w:val="28"/>
          <w:szCs w:val="28"/>
          <w14:textFill>
            <w14:solidFill>
              <w14:schemeClr w14:val="tx1"/>
            </w14:solidFill>
          </w14:textFill>
        </w:rPr>
      </w:pPr>
      <w:r>
        <w:rPr>
          <w:rFonts w:hint="eastAsia" w:ascii="黑体" w:hAnsi="黑体" w:eastAsia="黑体"/>
          <w:color w:val="000000" w:themeColor="text1"/>
          <w:sz w:val="28"/>
          <w:szCs w:val="28"/>
          <w:lang w:eastAsia="zh-CN"/>
          <w14:textFill>
            <w14:solidFill>
              <w14:schemeClr w14:val="tx1"/>
            </w14:solidFill>
          </w14:textFill>
        </w:rPr>
        <w:t>五</w:t>
      </w:r>
      <w:r>
        <w:rPr>
          <w:rFonts w:hint="eastAsia" w:ascii="黑体" w:hAnsi="黑体" w:eastAsia="黑体"/>
          <w:color w:val="000000" w:themeColor="text1"/>
          <w:sz w:val="28"/>
          <w:szCs w:val="28"/>
          <w14:textFill>
            <w14:solidFill>
              <w14:schemeClr w14:val="tx1"/>
            </w14:solidFill>
          </w14:textFill>
        </w:rPr>
        <w:t>、</w:t>
      </w:r>
      <w:r>
        <w:rPr>
          <w:rFonts w:hint="eastAsia" w:ascii="黑体" w:hAnsi="黑体" w:eastAsia="黑体" w:cs="宋体"/>
          <w:color w:val="000000" w:themeColor="text1"/>
          <w:sz w:val="28"/>
          <w:szCs w:val="28"/>
          <w14:textFill>
            <w14:solidFill>
              <w14:schemeClr w14:val="tx1"/>
            </w14:solidFill>
          </w14:textFill>
        </w:rPr>
        <w:t>授权书</w:t>
      </w:r>
    </w:p>
    <w:p>
      <w:pPr>
        <w:spacing w:line="400" w:lineRule="atLeast"/>
        <w:ind w:firstLine="570"/>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本授权书声明：</w:t>
      </w:r>
      <w:r>
        <w:rPr>
          <w:rFonts w:hint="eastAsia" w:ascii="仿宋" w:hAnsi="仿宋" w:eastAsia="仿宋" w:cs="宋体"/>
          <w:color w:val="000000" w:themeColor="text1"/>
          <w:sz w:val="28"/>
          <w:szCs w:val="28"/>
          <w:u w:val="single"/>
          <w14:textFill>
            <w14:solidFill>
              <w14:schemeClr w14:val="tx1"/>
            </w14:solidFill>
          </w14:textFill>
        </w:rPr>
        <w:t xml:space="preserve">     </w:t>
      </w:r>
      <w:r>
        <w:rPr>
          <w:rFonts w:hint="eastAsia" w:ascii="仿宋" w:hAnsi="仿宋" w:eastAsia="仿宋" w:cs="宋体"/>
          <w:color w:val="000000" w:themeColor="text1"/>
          <w:sz w:val="28"/>
          <w:szCs w:val="28"/>
          <w14:textFill>
            <w14:solidFill>
              <w14:schemeClr w14:val="tx1"/>
            </w14:solidFill>
          </w14:textFill>
        </w:rPr>
        <w:t>（供应商名称）授权</w:t>
      </w:r>
      <w:r>
        <w:rPr>
          <w:rFonts w:hint="eastAsia" w:ascii="仿宋" w:hAnsi="仿宋" w:eastAsia="仿宋" w:cs="宋体"/>
          <w:color w:val="000000" w:themeColor="text1"/>
          <w:sz w:val="28"/>
          <w:szCs w:val="28"/>
          <w:u w:val="single"/>
          <w14:textFill>
            <w14:solidFill>
              <w14:schemeClr w14:val="tx1"/>
            </w14:solidFill>
          </w14:textFill>
        </w:rPr>
        <w:t xml:space="preserve">     </w:t>
      </w:r>
      <w:r>
        <w:rPr>
          <w:rFonts w:hint="eastAsia" w:ascii="仿宋" w:hAnsi="仿宋" w:eastAsia="仿宋" w:cs="宋体"/>
          <w:color w:val="000000" w:themeColor="text1"/>
          <w:sz w:val="28"/>
          <w:szCs w:val="28"/>
          <w14:textFill>
            <w14:solidFill>
              <w14:schemeClr w14:val="tx1"/>
            </w14:solidFill>
          </w14:textFill>
        </w:rPr>
        <w:t>（供应商授权代表姓名、职务）代表我方参加本项目采购活动，全权代表我方处理磋商过程的一切事宜，包括但不限于：提交响应文件、参与磋商、签约等。供应商授权代表在采购活动过程中所签署的一切文件和处理与之有关的一切事务，本公司均予以认可并对此承担责任。供应商授权代表无转委托权。特此授权。</w:t>
      </w:r>
    </w:p>
    <w:p>
      <w:pPr>
        <w:spacing w:line="400" w:lineRule="atLeast"/>
        <w:ind w:firstLine="570"/>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本授权书自出具之日起生效。</w:t>
      </w:r>
    </w:p>
    <w:p>
      <w:pPr>
        <w:spacing w:line="400" w:lineRule="atLeast"/>
        <w:ind w:firstLine="570"/>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 xml:space="preserve">           </w:t>
      </w:r>
    </w:p>
    <w:tbl>
      <w:tblPr>
        <w:tblStyle w:val="37"/>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pPr>
              <w:adjustRightInd w:val="0"/>
              <w:snapToGrid w:val="0"/>
              <w:spacing w:before="120" w:beforeLines="50" w:line="400" w:lineRule="atLeast"/>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委托代理人身份证扫描件</w:t>
            </w:r>
          </w:p>
        </w:tc>
      </w:tr>
    </w:tbl>
    <w:p>
      <w:pPr>
        <w:spacing w:before="120" w:beforeLines="50" w:line="400" w:lineRule="atLeast"/>
        <w:rPr>
          <w:rFonts w:ascii="仿宋" w:hAnsi="仿宋" w:eastAsia="仿宋" w:cs="宋体"/>
          <w:color w:val="000000" w:themeColor="text1"/>
          <w:sz w:val="28"/>
          <w:szCs w:val="28"/>
          <w:u w:val="single"/>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代理人（被授权人）手机号码：</w:t>
      </w:r>
      <w:r>
        <w:rPr>
          <w:rFonts w:hint="eastAsia" w:ascii="仿宋" w:hAnsi="仿宋" w:eastAsia="仿宋" w:cs="宋体"/>
          <w:color w:val="000000" w:themeColor="text1"/>
          <w:sz w:val="28"/>
          <w:szCs w:val="28"/>
          <w:u w:val="single"/>
          <w14:textFill>
            <w14:solidFill>
              <w14:schemeClr w14:val="tx1"/>
            </w14:solidFill>
          </w14:textFill>
        </w:rPr>
        <w:t xml:space="preserve">                             </w:t>
      </w:r>
      <w:r>
        <w:rPr>
          <w:rFonts w:hint="eastAsia" w:ascii="仿宋" w:hAnsi="仿宋" w:eastAsia="仿宋" w:cs="宋体"/>
          <w:color w:val="000000" w:themeColor="text1"/>
          <w:sz w:val="28"/>
          <w:szCs w:val="28"/>
          <w14:textFill>
            <w14:solidFill>
              <w14:schemeClr w14:val="tx1"/>
            </w14:solidFill>
          </w14:textFill>
        </w:rPr>
        <w:t>；</w:t>
      </w:r>
    </w:p>
    <w:p>
      <w:pPr>
        <w:spacing w:line="400" w:lineRule="atLeas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代理人（被授权人）办公电话：</w:t>
      </w:r>
      <w:r>
        <w:rPr>
          <w:rFonts w:hint="eastAsia" w:ascii="仿宋" w:hAnsi="仿宋" w:eastAsia="仿宋" w:cs="宋体"/>
          <w:color w:val="000000" w:themeColor="text1"/>
          <w:sz w:val="28"/>
          <w:szCs w:val="28"/>
          <w:u w:val="single"/>
          <w14:textFill>
            <w14:solidFill>
              <w14:schemeClr w14:val="tx1"/>
            </w14:solidFill>
          </w14:textFill>
        </w:rPr>
        <w:t xml:space="preserve">                             </w:t>
      </w:r>
      <w:r>
        <w:rPr>
          <w:rFonts w:hint="eastAsia" w:ascii="仿宋" w:hAnsi="仿宋" w:eastAsia="仿宋" w:cs="宋体"/>
          <w:color w:val="000000" w:themeColor="text1"/>
          <w:sz w:val="28"/>
          <w:szCs w:val="28"/>
          <w14:textFill>
            <w14:solidFill>
              <w14:schemeClr w14:val="tx1"/>
            </w14:solidFill>
          </w14:textFill>
        </w:rPr>
        <w:t xml:space="preserve">。  </w:t>
      </w:r>
    </w:p>
    <w:p>
      <w:pPr>
        <w:adjustRightInd w:val="0"/>
        <w:snapToGrid w:val="0"/>
        <w:spacing w:line="400" w:lineRule="atLeast"/>
        <w:ind w:firstLine="560" w:firstLineChars="200"/>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附：法定代表人身份证明</w:t>
      </w:r>
    </w:p>
    <w:p>
      <w:pPr>
        <w:adjustRightInd w:val="0"/>
        <w:snapToGrid w:val="0"/>
        <w:spacing w:line="400" w:lineRule="atLeast"/>
        <w:ind w:firstLine="560" w:firstLineChars="200"/>
        <w:rPr>
          <w:rFonts w:ascii="仿宋" w:hAnsi="仿宋" w:eastAsia="仿宋" w:cs="宋体"/>
          <w:color w:val="000000" w:themeColor="text1"/>
          <w:sz w:val="28"/>
          <w:szCs w:val="28"/>
          <w14:textFill>
            <w14:solidFill>
              <w14:schemeClr w14:val="tx1"/>
            </w14:solidFill>
          </w14:textFill>
        </w:rPr>
      </w:pPr>
    </w:p>
    <w:p>
      <w:pPr>
        <w:adjustRightInd w:val="0"/>
        <w:snapToGrid w:val="0"/>
        <w:spacing w:line="400" w:lineRule="atLeast"/>
        <w:ind w:firstLine="560" w:firstLineChars="200"/>
        <w:rPr>
          <w:rFonts w:ascii="仿宋" w:hAnsi="仿宋" w:eastAsia="仿宋" w:cs="宋体"/>
          <w:color w:val="000000" w:themeColor="text1"/>
          <w:sz w:val="28"/>
          <w:szCs w:val="28"/>
          <w14:textFill>
            <w14:solidFill>
              <w14:schemeClr w14:val="tx1"/>
            </w14:solidFill>
          </w14:textFill>
        </w:rPr>
      </w:pPr>
    </w:p>
    <w:p>
      <w:pPr>
        <w:adjustRightInd w:val="0"/>
        <w:snapToGrid w:val="0"/>
        <w:spacing w:line="400" w:lineRule="atLeast"/>
        <w:ind w:firstLine="560" w:firstLineChars="200"/>
        <w:rPr>
          <w:rFonts w:ascii="仿宋" w:hAnsi="仿宋" w:eastAsia="仿宋" w:cs="宋体"/>
          <w:color w:val="000000" w:themeColor="text1"/>
          <w:sz w:val="28"/>
          <w:szCs w:val="28"/>
          <w14:textFill>
            <w14:solidFill>
              <w14:schemeClr w14:val="tx1"/>
            </w14:solidFill>
          </w14:textFill>
        </w:rPr>
      </w:pPr>
    </w:p>
    <w:p>
      <w:pPr>
        <w:adjustRightInd w:val="0"/>
        <w:snapToGrid w:val="0"/>
        <w:spacing w:line="400" w:lineRule="atLeast"/>
        <w:ind w:firstLine="560" w:firstLineChars="200"/>
        <w:rPr>
          <w:rFonts w:ascii="仿宋" w:hAnsi="仿宋" w:eastAsia="仿宋" w:cs="宋体"/>
          <w:color w:val="000000" w:themeColor="text1"/>
          <w:sz w:val="28"/>
          <w:szCs w:val="28"/>
          <w14:textFill>
            <w14:solidFill>
              <w14:schemeClr w14:val="tx1"/>
            </w14:solidFill>
          </w14:textFill>
        </w:rPr>
      </w:pPr>
    </w:p>
    <w:p>
      <w:pPr>
        <w:adjustRightInd w:val="0"/>
        <w:snapToGrid w:val="0"/>
        <w:spacing w:line="360" w:lineRule="auto"/>
        <w:ind w:firstLine="2380" w:firstLineChars="85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供应商</w:t>
      </w:r>
      <w:r>
        <w:rPr>
          <w:rFonts w:hint="eastAsia" w:ascii="仿宋" w:hAnsi="仿宋" w:eastAsia="仿宋"/>
          <w:color w:val="000000" w:themeColor="text1"/>
          <w:sz w:val="28"/>
          <w:szCs w:val="28"/>
          <w:lang w:val="en-US" w:eastAsia="zh-CN"/>
          <w14:textFill>
            <w14:solidFill>
              <w14:schemeClr w14:val="tx1"/>
            </w14:solidFill>
          </w14:textFill>
        </w:rPr>
        <w:t>盖</w:t>
      </w:r>
      <w:r>
        <w:rPr>
          <w:rFonts w:hint="eastAsia" w:ascii="仿宋" w:hAnsi="仿宋" w:eastAsia="仿宋"/>
          <w:color w:val="000000" w:themeColor="text1"/>
          <w:sz w:val="28"/>
          <w:szCs w:val="28"/>
          <w14:textFill>
            <w14:solidFill>
              <w14:schemeClr w14:val="tx1"/>
            </w14:solidFill>
          </w14:textFill>
        </w:rPr>
        <w:t>章：</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       </w:t>
      </w:r>
    </w:p>
    <w:p>
      <w:pPr>
        <w:adjustRightInd w:val="0"/>
        <w:snapToGrid w:val="0"/>
        <w:spacing w:line="360" w:lineRule="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日             期：</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pPr>
        <w:kinsoku w:val="0"/>
        <w:overflowPunct w:val="0"/>
        <w:autoSpaceDE w:val="0"/>
        <w:autoSpaceDN w:val="0"/>
        <w:spacing w:line="400" w:lineRule="atLeast"/>
        <w:rPr>
          <w:rFonts w:ascii="仿宋" w:hAnsi="仿宋" w:eastAsia="仿宋" w:cs="宋体"/>
          <w:color w:val="000000" w:themeColor="text1"/>
          <w:kern w:val="0"/>
          <w:sz w:val="28"/>
          <w:szCs w:val="28"/>
          <w14:textFill>
            <w14:solidFill>
              <w14:schemeClr w14:val="tx1"/>
            </w14:solidFill>
          </w14:textFill>
        </w:rPr>
      </w:pPr>
    </w:p>
    <w:p>
      <w:pPr>
        <w:kinsoku w:val="0"/>
        <w:overflowPunct w:val="0"/>
        <w:autoSpaceDE w:val="0"/>
        <w:autoSpaceDN w:val="0"/>
        <w:spacing w:line="400" w:lineRule="atLeast"/>
        <w:rPr>
          <w:rFonts w:ascii="仿宋" w:hAnsi="仿宋" w:eastAsia="仿宋" w:cs="宋体"/>
          <w:color w:val="000000" w:themeColor="text1"/>
          <w:kern w:val="0"/>
          <w:sz w:val="28"/>
          <w:szCs w:val="28"/>
          <w14:textFill>
            <w14:solidFill>
              <w14:schemeClr w14:val="tx1"/>
            </w14:solidFill>
          </w14:textFill>
        </w:rPr>
      </w:pPr>
    </w:p>
    <w:p>
      <w:pPr>
        <w:kinsoku w:val="0"/>
        <w:overflowPunct w:val="0"/>
        <w:autoSpaceDE w:val="0"/>
        <w:autoSpaceDN w:val="0"/>
        <w:spacing w:line="400" w:lineRule="atLeast"/>
        <w:rPr>
          <w:rFonts w:ascii="仿宋" w:hAnsi="仿宋" w:eastAsia="仿宋" w:cs="宋体"/>
          <w:color w:val="000000" w:themeColor="text1"/>
          <w:kern w:val="0"/>
          <w:sz w:val="28"/>
          <w:szCs w:val="28"/>
          <w14:textFill>
            <w14:solidFill>
              <w14:schemeClr w14:val="tx1"/>
            </w14:solidFill>
          </w14:textFill>
        </w:rPr>
      </w:pPr>
    </w:p>
    <w:p>
      <w:pPr>
        <w:kinsoku w:val="0"/>
        <w:overflowPunct w:val="0"/>
        <w:autoSpaceDE w:val="0"/>
        <w:autoSpaceDN w:val="0"/>
        <w:spacing w:line="400" w:lineRule="atLeast"/>
        <w:rPr>
          <w:rFonts w:ascii="仿宋" w:hAnsi="仿宋" w:eastAsia="仿宋" w:cs="宋体"/>
          <w:color w:val="000000" w:themeColor="text1"/>
          <w:kern w:val="0"/>
          <w:sz w:val="28"/>
          <w:szCs w:val="28"/>
          <w14:textFill>
            <w14:solidFill>
              <w14:schemeClr w14:val="tx1"/>
            </w14:solidFill>
          </w14:textFill>
        </w:rPr>
      </w:pPr>
    </w:p>
    <w:p>
      <w:pPr>
        <w:kinsoku w:val="0"/>
        <w:overflowPunct w:val="0"/>
        <w:autoSpaceDE w:val="0"/>
        <w:autoSpaceDN w:val="0"/>
        <w:spacing w:line="400" w:lineRule="atLeast"/>
        <w:rPr>
          <w:rFonts w:ascii="仿宋" w:hAnsi="仿宋" w:eastAsia="仿宋" w:cs="宋体"/>
          <w:color w:val="000000" w:themeColor="text1"/>
          <w:kern w:val="0"/>
          <w:sz w:val="28"/>
          <w:szCs w:val="28"/>
          <w14:textFill>
            <w14:solidFill>
              <w14:schemeClr w14:val="tx1"/>
            </w14:solidFill>
          </w14:textFill>
        </w:rPr>
      </w:pPr>
    </w:p>
    <w:p>
      <w:pPr>
        <w:kinsoku w:val="0"/>
        <w:overflowPunct w:val="0"/>
        <w:autoSpaceDE w:val="0"/>
        <w:autoSpaceDN w:val="0"/>
        <w:spacing w:line="400" w:lineRule="atLeast"/>
        <w:rPr>
          <w:rFonts w:ascii="仿宋" w:hAnsi="仿宋" w:eastAsia="仿宋" w:cs="宋体"/>
          <w:color w:val="000000" w:themeColor="text1"/>
          <w:kern w:val="0"/>
          <w:sz w:val="28"/>
          <w:szCs w:val="28"/>
          <w14:textFill>
            <w14:solidFill>
              <w14:schemeClr w14:val="tx1"/>
            </w14:solidFill>
          </w14:textFill>
        </w:rPr>
      </w:pPr>
    </w:p>
    <w:p>
      <w:pPr>
        <w:kinsoku w:val="0"/>
        <w:overflowPunct w:val="0"/>
        <w:autoSpaceDE w:val="0"/>
        <w:autoSpaceDN w:val="0"/>
        <w:spacing w:line="400" w:lineRule="atLeast"/>
        <w:rPr>
          <w:rFonts w:ascii="仿宋" w:hAnsi="仿宋" w:eastAsia="仿宋" w:cs="宋体"/>
          <w:color w:val="000000" w:themeColor="text1"/>
          <w:kern w:val="0"/>
          <w:sz w:val="28"/>
          <w:szCs w:val="28"/>
          <w14:textFill>
            <w14:solidFill>
              <w14:schemeClr w14:val="tx1"/>
            </w14:solidFill>
          </w14:textFill>
        </w:rPr>
      </w:pPr>
    </w:p>
    <w:p>
      <w:pPr>
        <w:kinsoku w:val="0"/>
        <w:overflowPunct w:val="0"/>
        <w:autoSpaceDE w:val="0"/>
        <w:autoSpaceDN w:val="0"/>
        <w:spacing w:line="400" w:lineRule="atLeast"/>
        <w:rPr>
          <w:rFonts w:ascii="仿宋" w:hAnsi="仿宋" w:eastAsia="仿宋" w:cs="宋体"/>
          <w:color w:val="000000" w:themeColor="text1"/>
          <w:kern w:val="0"/>
          <w:sz w:val="28"/>
          <w:szCs w:val="28"/>
          <w14:textFill>
            <w14:solidFill>
              <w14:schemeClr w14:val="tx1"/>
            </w14:solidFill>
          </w14:textFill>
        </w:rPr>
      </w:pPr>
    </w:p>
    <w:p>
      <w:pPr>
        <w:kinsoku w:val="0"/>
        <w:overflowPunct w:val="0"/>
        <w:autoSpaceDE w:val="0"/>
        <w:autoSpaceDN w:val="0"/>
        <w:spacing w:line="400" w:lineRule="atLeast"/>
        <w:rPr>
          <w:rFonts w:ascii="仿宋" w:hAnsi="仿宋" w:eastAsia="仿宋" w:cs="宋体"/>
          <w:color w:val="000000" w:themeColor="text1"/>
          <w:kern w:val="0"/>
          <w:sz w:val="28"/>
          <w:szCs w:val="28"/>
          <w14:textFill>
            <w14:solidFill>
              <w14:schemeClr w14:val="tx1"/>
            </w14:solidFill>
          </w14:textFill>
        </w:rPr>
      </w:pPr>
      <w:r>
        <w:rPr>
          <w:rFonts w:ascii="仿宋" w:hAnsi="仿宋" w:eastAsia="仿宋" w:cs="宋体"/>
          <w:color w:val="000000" w:themeColor="text1"/>
          <w:kern w:val="0"/>
          <w:sz w:val="28"/>
          <w:szCs w:val="28"/>
          <w14:textFill>
            <w14:solidFill>
              <w14:schemeClr w14:val="tx1"/>
            </w14:solidFill>
          </w14:textFill>
        </w:rPr>
        <w:br w:type="page"/>
      </w:r>
    </w:p>
    <w:p>
      <w:pPr>
        <w:kinsoku w:val="0"/>
        <w:overflowPunct w:val="0"/>
        <w:autoSpaceDE w:val="0"/>
        <w:autoSpaceDN w:val="0"/>
        <w:spacing w:line="400" w:lineRule="atLeas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附件1-1      法定代表人身份证明（格式）</w:t>
      </w:r>
    </w:p>
    <w:p>
      <w:pPr>
        <w:autoSpaceDE w:val="0"/>
        <w:autoSpaceDN w:val="0"/>
        <w:adjustRightInd w:val="0"/>
        <w:snapToGrid w:val="0"/>
        <w:spacing w:line="400" w:lineRule="atLeast"/>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供应商</w:t>
      </w:r>
      <w:r>
        <w:rPr>
          <w:rFonts w:hint="eastAsia" w:ascii="仿宋" w:hAnsi="仿宋" w:eastAsia="仿宋" w:cs="宋体"/>
          <w:color w:val="000000" w:themeColor="text1"/>
          <w:kern w:val="0"/>
          <w:sz w:val="28"/>
          <w:szCs w:val="28"/>
          <w14:textFill>
            <w14:solidFill>
              <w14:schemeClr w14:val="tx1"/>
            </w14:solidFill>
          </w14:textFill>
        </w:rPr>
        <w:t>名称：</w:t>
      </w:r>
      <w:r>
        <w:rPr>
          <w:rFonts w:hint="eastAsia" w:ascii="仿宋" w:hAnsi="仿宋" w:eastAsia="仿宋" w:cs="宋体"/>
          <w:color w:val="000000" w:themeColor="text1"/>
          <w:kern w:val="0"/>
          <w:sz w:val="28"/>
          <w:szCs w:val="28"/>
          <w:u w:val="single"/>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 xml:space="preserve"> </w:t>
      </w:r>
    </w:p>
    <w:p>
      <w:pPr>
        <w:autoSpaceDE w:val="0"/>
        <w:autoSpaceDN w:val="0"/>
        <w:adjustRightInd w:val="0"/>
        <w:snapToGrid w:val="0"/>
        <w:spacing w:line="400" w:lineRule="atLeast"/>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注册号：</w:t>
      </w:r>
      <w:r>
        <w:rPr>
          <w:rFonts w:hint="eastAsia" w:ascii="仿宋" w:hAnsi="仿宋" w:eastAsia="仿宋" w:cs="宋体"/>
          <w:color w:val="000000" w:themeColor="text1"/>
          <w:kern w:val="0"/>
          <w:sz w:val="28"/>
          <w:szCs w:val="28"/>
          <w:u w:val="single"/>
          <w14:textFill>
            <w14:solidFill>
              <w14:schemeClr w14:val="tx1"/>
            </w14:solidFill>
          </w14:textFill>
        </w:rPr>
        <w:t xml:space="preserve">                  </w:t>
      </w:r>
    </w:p>
    <w:p>
      <w:pPr>
        <w:autoSpaceDE w:val="0"/>
        <w:autoSpaceDN w:val="0"/>
        <w:adjustRightInd w:val="0"/>
        <w:snapToGrid w:val="0"/>
        <w:spacing w:line="400" w:lineRule="atLeast"/>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注册地址：</w:t>
      </w:r>
      <w:r>
        <w:rPr>
          <w:rFonts w:hint="eastAsia" w:ascii="仿宋" w:hAnsi="仿宋" w:eastAsia="仿宋" w:cs="宋体"/>
          <w:color w:val="000000" w:themeColor="text1"/>
          <w:kern w:val="0"/>
          <w:sz w:val="28"/>
          <w:szCs w:val="28"/>
          <w:u w:val="single"/>
          <w14:textFill>
            <w14:solidFill>
              <w14:schemeClr w14:val="tx1"/>
            </w14:solidFill>
          </w14:textFill>
        </w:rPr>
        <w:t xml:space="preserve">                                    </w:t>
      </w:r>
    </w:p>
    <w:p>
      <w:pPr>
        <w:autoSpaceDE w:val="0"/>
        <w:autoSpaceDN w:val="0"/>
        <w:adjustRightInd w:val="0"/>
        <w:snapToGrid w:val="0"/>
        <w:spacing w:line="400" w:lineRule="atLeast"/>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 xml:space="preserve">成立时间： </w:t>
      </w:r>
      <w:r>
        <w:rPr>
          <w:rFonts w:hint="eastAsia" w:ascii="仿宋" w:hAnsi="仿宋" w:eastAsia="仿宋" w:cs="宋体"/>
          <w:color w:val="000000" w:themeColor="text1"/>
          <w:kern w:val="0"/>
          <w:sz w:val="28"/>
          <w:szCs w:val="28"/>
          <w:u w:val="single"/>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 xml:space="preserve">年 </w:t>
      </w:r>
      <w:r>
        <w:rPr>
          <w:rFonts w:hint="eastAsia" w:ascii="仿宋" w:hAnsi="仿宋" w:eastAsia="仿宋" w:cs="宋体"/>
          <w:color w:val="000000" w:themeColor="text1"/>
          <w:kern w:val="0"/>
          <w:sz w:val="28"/>
          <w:szCs w:val="28"/>
          <w:u w:val="single"/>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月</w:t>
      </w:r>
      <w:r>
        <w:rPr>
          <w:rFonts w:hint="eastAsia" w:ascii="仿宋" w:hAnsi="仿宋" w:eastAsia="仿宋" w:cs="宋体"/>
          <w:color w:val="000000" w:themeColor="text1"/>
          <w:kern w:val="0"/>
          <w:sz w:val="28"/>
          <w:szCs w:val="28"/>
          <w:u w:val="single"/>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 xml:space="preserve"> 日</w:t>
      </w:r>
    </w:p>
    <w:p>
      <w:pPr>
        <w:autoSpaceDE w:val="0"/>
        <w:autoSpaceDN w:val="0"/>
        <w:adjustRightInd w:val="0"/>
        <w:snapToGrid w:val="0"/>
        <w:spacing w:line="400" w:lineRule="atLeast"/>
        <w:jc w:val="left"/>
        <w:rPr>
          <w:rFonts w:ascii="仿宋" w:hAnsi="仿宋" w:eastAsia="仿宋" w:cs="宋体"/>
          <w:color w:val="000000" w:themeColor="text1"/>
          <w:kern w:val="0"/>
          <w:sz w:val="28"/>
          <w:szCs w:val="28"/>
          <w:u w:val="single"/>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经营期限：</w:t>
      </w:r>
      <w:r>
        <w:rPr>
          <w:rFonts w:hint="eastAsia" w:ascii="仿宋" w:hAnsi="仿宋" w:eastAsia="仿宋" w:cs="宋体"/>
          <w:color w:val="000000" w:themeColor="text1"/>
          <w:kern w:val="0"/>
          <w:sz w:val="28"/>
          <w:szCs w:val="28"/>
          <w:u w:val="single"/>
          <w14:textFill>
            <w14:solidFill>
              <w14:schemeClr w14:val="tx1"/>
            </w14:solidFill>
          </w14:textFill>
        </w:rPr>
        <w:t xml:space="preserve">                  </w:t>
      </w:r>
    </w:p>
    <w:p>
      <w:pPr>
        <w:autoSpaceDE w:val="0"/>
        <w:autoSpaceDN w:val="0"/>
        <w:adjustRightInd w:val="0"/>
        <w:snapToGrid w:val="0"/>
        <w:spacing w:line="400" w:lineRule="atLeast"/>
        <w:jc w:val="left"/>
        <w:rPr>
          <w:rFonts w:ascii="仿宋" w:hAnsi="仿宋" w:eastAsia="仿宋" w:cs="宋体"/>
          <w:color w:val="000000" w:themeColor="text1"/>
          <w:kern w:val="0"/>
          <w:sz w:val="28"/>
          <w:szCs w:val="28"/>
          <w:u w:val="single"/>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经营范围：主营：</w:t>
      </w:r>
      <w:r>
        <w:rPr>
          <w:rFonts w:hint="eastAsia" w:ascii="仿宋" w:hAnsi="仿宋" w:eastAsia="仿宋" w:cs="宋体"/>
          <w:color w:val="000000" w:themeColor="text1"/>
          <w:kern w:val="0"/>
          <w:sz w:val="28"/>
          <w:szCs w:val="28"/>
          <w:u w:val="single"/>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 xml:space="preserve"> ；兼营：</w:t>
      </w:r>
      <w:r>
        <w:rPr>
          <w:rFonts w:hint="eastAsia" w:ascii="仿宋" w:hAnsi="仿宋" w:eastAsia="仿宋" w:cs="宋体"/>
          <w:color w:val="000000" w:themeColor="text1"/>
          <w:kern w:val="0"/>
          <w:sz w:val="28"/>
          <w:szCs w:val="28"/>
          <w:u w:val="single"/>
          <w14:textFill>
            <w14:solidFill>
              <w14:schemeClr w14:val="tx1"/>
            </w14:solidFill>
          </w14:textFill>
        </w:rPr>
        <w:t xml:space="preserve">              </w:t>
      </w:r>
    </w:p>
    <w:p>
      <w:pPr>
        <w:autoSpaceDE w:val="0"/>
        <w:autoSpaceDN w:val="0"/>
        <w:adjustRightInd w:val="0"/>
        <w:snapToGrid w:val="0"/>
        <w:spacing w:line="400" w:lineRule="atLeast"/>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姓名：</w:t>
      </w:r>
      <w:r>
        <w:rPr>
          <w:rFonts w:hint="eastAsia" w:ascii="仿宋" w:hAnsi="仿宋" w:eastAsia="仿宋" w:cs="宋体"/>
          <w:color w:val="000000" w:themeColor="text1"/>
          <w:kern w:val="0"/>
          <w:sz w:val="28"/>
          <w:szCs w:val="28"/>
          <w:u w:val="single"/>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 xml:space="preserve"> 性别：</w:t>
      </w:r>
      <w:r>
        <w:rPr>
          <w:rFonts w:hint="eastAsia" w:ascii="仿宋" w:hAnsi="仿宋" w:eastAsia="仿宋" w:cs="宋体"/>
          <w:color w:val="000000" w:themeColor="text1"/>
          <w:kern w:val="0"/>
          <w:sz w:val="28"/>
          <w:szCs w:val="28"/>
          <w:u w:val="single"/>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 xml:space="preserve"> 年龄：</w:t>
      </w:r>
      <w:r>
        <w:rPr>
          <w:rFonts w:hint="eastAsia" w:ascii="仿宋" w:hAnsi="仿宋" w:eastAsia="仿宋" w:cs="宋体"/>
          <w:color w:val="000000" w:themeColor="text1"/>
          <w:kern w:val="0"/>
          <w:sz w:val="28"/>
          <w:szCs w:val="28"/>
          <w:u w:val="single"/>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 xml:space="preserve"> 职务：</w:t>
      </w:r>
      <w:r>
        <w:rPr>
          <w:rFonts w:hint="eastAsia" w:ascii="仿宋" w:hAnsi="仿宋" w:eastAsia="仿宋" w:cs="宋体"/>
          <w:color w:val="000000" w:themeColor="text1"/>
          <w:kern w:val="0"/>
          <w:sz w:val="28"/>
          <w:szCs w:val="28"/>
          <w:u w:val="single"/>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系</w:t>
      </w:r>
      <w:r>
        <w:rPr>
          <w:rFonts w:hint="eastAsia" w:ascii="仿宋" w:hAnsi="仿宋" w:eastAsia="仿宋" w:cs="宋体"/>
          <w:color w:val="000000" w:themeColor="text1"/>
          <w:kern w:val="0"/>
          <w:sz w:val="28"/>
          <w:szCs w:val="28"/>
          <w:u w:val="single"/>
          <w14:textFill>
            <w14:solidFill>
              <w14:schemeClr w14:val="tx1"/>
            </w14:solidFill>
          </w14:textFill>
        </w:rPr>
        <w:t xml:space="preserve">          </w:t>
      </w:r>
      <w:r>
        <w:rPr>
          <w:rFonts w:hint="eastAsia" w:ascii="仿宋" w:hAnsi="仿宋" w:eastAsia="仿宋" w:cs="宋体"/>
          <w:color w:val="000000" w:themeColor="text1"/>
          <w:kern w:val="0"/>
          <w:sz w:val="28"/>
          <w:szCs w:val="28"/>
          <w14:textFill>
            <w14:solidFill>
              <w14:schemeClr w14:val="tx1"/>
            </w14:solidFill>
          </w14:textFill>
        </w:rPr>
        <w:t xml:space="preserve"> （</w:t>
      </w:r>
      <w:r>
        <w:rPr>
          <w:rFonts w:hint="eastAsia" w:ascii="仿宋" w:hAnsi="仿宋" w:eastAsia="仿宋" w:cs="宋体"/>
          <w:color w:val="000000" w:themeColor="text1"/>
          <w:sz w:val="28"/>
          <w:szCs w:val="28"/>
          <w14:textFill>
            <w14:solidFill>
              <w14:schemeClr w14:val="tx1"/>
            </w14:solidFill>
          </w14:textFill>
        </w:rPr>
        <w:t>供应商</w:t>
      </w:r>
      <w:r>
        <w:rPr>
          <w:rFonts w:hint="eastAsia" w:ascii="仿宋" w:hAnsi="仿宋" w:eastAsia="仿宋" w:cs="宋体"/>
          <w:color w:val="000000" w:themeColor="text1"/>
          <w:kern w:val="0"/>
          <w:sz w:val="28"/>
          <w:szCs w:val="28"/>
          <w14:textFill>
            <w14:solidFill>
              <w14:schemeClr w14:val="tx1"/>
            </w14:solidFill>
          </w14:textFill>
        </w:rPr>
        <w:t>名称）的法定代表人。</w:t>
      </w:r>
    </w:p>
    <w:p>
      <w:pPr>
        <w:autoSpaceDE w:val="0"/>
        <w:autoSpaceDN w:val="0"/>
        <w:adjustRightInd w:val="0"/>
        <w:snapToGrid w:val="0"/>
        <w:spacing w:line="400" w:lineRule="atLeast"/>
        <w:jc w:val="left"/>
        <w:rPr>
          <w:rFonts w:ascii="仿宋" w:hAnsi="仿宋" w:eastAsia="仿宋" w:cs="宋体"/>
          <w:color w:val="000000" w:themeColor="text1"/>
          <w:kern w:val="0"/>
          <w:sz w:val="28"/>
          <w:szCs w:val="28"/>
          <w14:textFill>
            <w14:solidFill>
              <w14:schemeClr w14:val="tx1"/>
            </w14:solidFill>
          </w14:textFill>
        </w:rPr>
      </w:pPr>
      <w:r>
        <w:rPr>
          <w:rFonts w:hint="eastAsia" w:ascii="仿宋" w:hAnsi="仿宋" w:eastAsia="仿宋" w:cs="宋体"/>
          <w:color w:val="000000" w:themeColor="text1"/>
          <w:kern w:val="0"/>
          <w:sz w:val="28"/>
          <w:szCs w:val="28"/>
          <w14:textFill>
            <w14:solidFill>
              <w14:schemeClr w14:val="tx1"/>
            </w14:solidFill>
          </w14:textFill>
        </w:rPr>
        <w:t>特此证明。</w:t>
      </w:r>
    </w:p>
    <w:tbl>
      <w:tblPr>
        <w:tblStyle w:val="37"/>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8528" w:type="dxa"/>
            <w:vAlign w:val="center"/>
          </w:tcPr>
          <w:p>
            <w:pPr>
              <w:adjustRightInd w:val="0"/>
              <w:snapToGrid w:val="0"/>
              <w:spacing w:before="120" w:beforeLines="50" w:line="400" w:lineRule="atLeast"/>
              <w:jc w:val="center"/>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法定代表人身份证扫描件</w:t>
            </w:r>
          </w:p>
        </w:tc>
      </w:tr>
    </w:tbl>
    <w:p>
      <w:pPr>
        <w:adjustRightInd w:val="0"/>
        <w:snapToGrid w:val="0"/>
        <w:spacing w:before="120" w:beforeLines="50" w:line="400" w:lineRule="atLeas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法定代表人手机号码：</w:t>
      </w:r>
      <w:r>
        <w:rPr>
          <w:rFonts w:hint="eastAsia" w:ascii="仿宋" w:hAnsi="仿宋" w:eastAsia="仿宋" w:cs="宋体"/>
          <w:color w:val="000000" w:themeColor="text1"/>
          <w:sz w:val="28"/>
          <w:szCs w:val="28"/>
          <w:u w:val="single"/>
          <w14:textFill>
            <w14:solidFill>
              <w14:schemeClr w14:val="tx1"/>
            </w14:solidFill>
          </w14:textFill>
        </w:rPr>
        <w:t xml:space="preserve">                             </w:t>
      </w:r>
      <w:r>
        <w:rPr>
          <w:rFonts w:hint="eastAsia" w:ascii="仿宋" w:hAnsi="仿宋" w:eastAsia="仿宋" w:cs="宋体"/>
          <w:color w:val="000000" w:themeColor="text1"/>
          <w:sz w:val="28"/>
          <w:szCs w:val="28"/>
          <w14:textFill>
            <w14:solidFill>
              <w14:schemeClr w14:val="tx1"/>
            </w14:solidFill>
          </w14:textFill>
        </w:rPr>
        <w:t>；</w:t>
      </w:r>
    </w:p>
    <w:p>
      <w:pPr>
        <w:adjustRightInd w:val="0"/>
        <w:snapToGrid w:val="0"/>
        <w:spacing w:before="120" w:beforeLines="50" w:line="400" w:lineRule="atLeast"/>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法定代表人办公电话：</w:t>
      </w:r>
      <w:r>
        <w:rPr>
          <w:rFonts w:hint="eastAsia" w:ascii="仿宋" w:hAnsi="仿宋" w:eastAsia="仿宋" w:cs="宋体"/>
          <w:color w:val="000000" w:themeColor="text1"/>
          <w:sz w:val="28"/>
          <w:szCs w:val="28"/>
          <w:u w:val="single"/>
          <w14:textFill>
            <w14:solidFill>
              <w14:schemeClr w14:val="tx1"/>
            </w14:solidFill>
          </w14:textFill>
        </w:rPr>
        <w:t xml:space="preserve">                             </w:t>
      </w:r>
      <w:r>
        <w:rPr>
          <w:rFonts w:hint="eastAsia" w:ascii="仿宋" w:hAnsi="仿宋" w:eastAsia="仿宋" w:cs="宋体"/>
          <w:color w:val="000000" w:themeColor="text1"/>
          <w:sz w:val="28"/>
          <w:szCs w:val="28"/>
          <w14:textFill>
            <w14:solidFill>
              <w14:schemeClr w14:val="tx1"/>
            </w14:solidFill>
          </w14:textFill>
        </w:rPr>
        <w:t xml:space="preserve">。  </w:t>
      </w:r>
    </w:p>
    <w:p>
      <w:pPr>
        <w:adjustRightInd w:val="0"/>
        <w:snapToGrid w:val="0"/>
        <w:spacing w:line="360" w:lineRule="auto"/>
        <w:ind w:firstLine="2380" w:firstLineChars="850"/>
        <w:rPr>
          <w:rFonts w:ascii="仿宋" w:hAnsi="仿宋" w:eastAsia="仿宋"/>
          <w:color w:val="000000" w:themeColor="text1"/>
          <w:sz w:val="28"/>
          <w:szCs w:val="28"/>
          <w14:textFill>
            <w14:solidFill>
              <w14:schemeClr w14:val="tx1"/>
            </w14:solidFill>
          </w14:textFill>
        </w:rPr>
      </w:pPr>
    </w:p>
    <w:p>
      <w:pPr>
        <w:adjustRightInd w:val="0"/>
        <w:snapToGrid w:val="0"/>
        <w:spacing w:line="360" w:lineRule="auto"/>
        <w:ind w:firstLine="2380" w:firstLineChars="850"/>
        <w:rPr>
          <w:rFonts w:ascii="仿宋" w:hAnsi="仿宋" w:eastAsia="仿宋"/>
          <w:color w:val="000000" w:themeColor="text1"/>
          <w:sz w:val="28"/>
          <w:szCs w:val="28"/>
          <w14:textFill>
            <w14:solidFill>
              <w14:schemeClr w14:val="tx1"/>
            </w14:solidFill>
          </w14:textFill>
        </w:rPr>
      </w:pPr>
    </w:p>
    <w:p>
      <w:pPr>
        <w:adjustRightInd w:val="0"/>
        <w:snapToGrid w:val="0"/>
        <w:spacing w:line="360" w:lineRule="auto"/>
        <w:ind w:firstLine="2380" w:firstLineChars="85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供应商</w:t>
      </w:r>
      <w:r>
        <w:rPr>
          <w:rFonts w:hint="eastAsia" w:ascii="仿宋" w:hAnsi="仿宋" w:eastAsia="仿宋"/>
          <w:color w:val="000000" w:themeColor="text1"/>
          <w:sz w:val="28"/>
          <w:szCs w:val="28"/>
          <w:lang w:val="en-US" w:eastAsia="zh-CN"/>
          <w14:textFill>
            <w14:solidFill>
              <w14:schemeClr w14:val="tx1"/>
            </w14:solidFill>
          </w14:textFill>
        </w:rPr>
        <w:t>盖</w:t>
      </w:r>
      <w:r>
        <w:rPr>
          <w:rFonts w:hint="eastAsia" w:ascii="仿宋" w:hAnsi="仿宋" w:eastAsia="仿宋"/>
          <w:color w:val="000000" w:themeColor="text1"/>
          <w:sz w:val="28"/>
          <w:szCs w:val="28"/>
          <w14:textFill>
            <w14:solidFill>
              <w14:schemeClr w14:val="tx1"/>
            </w14:solidFill>
          </w14:textFill>
        </w:rPr>
        <w:t>章：</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       </w:t>
      </w:r>
    </w:p>
    <w:p>
      <w:pPr>
        <w:adjustRightInd w:val="0"/>
        <w:snapToGrid w:val="0"/>
        <w:spacing w:line="360" w:lineRule="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日             期：</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pPr>
        <w:spacing w:line="400" w:lineRule="atLeast"/>
        <w:ind w:firstLine="2660" w:firstLineChars="950"/>
        <w:rPr>
          <w:rFonts w:ascii="仿宋" w:hAnsi="仿宋" w:eastAsia="仿宋" w:cs="宋体"/>
          <w:color w:val="000000" w:themeColor="text1"/>
          <w:sz w:val="28"/>
          <w:szCs w:val="28"/>
          <w14:textFill>
            <w14:solidFill>
              <w14:schemeClr w14:val="tx1"/>
            </w14:solidFill>
          </w14:textFill>
        </w:rPr>
      </w:pPr>
    </w:p>
    <w:p>
      <w:pPr>
        <w:spacing w:line="400" w:lineRule="atLeast"/>
        <w:ind w:firstLine="570"/>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注：1、本项目只允许有唯一的供应商授权代表，提供身份证明扫描件；</w:t>
      </w:r>
    </w:p>
    <w:p>
      <w:pPr>
        <w:spacing w:line="400" w:lineRule="atLeast"/>
        <w:ind w:firstLine="570"/>
        <w:rPr>
          <w:rFonts w:ascii="仿宋" w:hAnsi="仿宋" w:eastAsia="仿宋" w:cs="宋体"/>
          <w:color w:val="000000" w:themeColor="text1"/>
          <w:sz w:val="28"/>
          <w:szCs w:val="28"/>
          <w14:textFill>
            <w14:solidFill>
              <w14:schemeClr w14:val="tx1"/>
            </w14:solidFill>
          </w14:textFill>
        </w:rPr>
      </w:pPr>
      <w:r>
        <w:rPr>
          <w:rFonts w:hint="eastAsia" w:ascii="仿宋" w:hAnsi="仿宋" w:eastAsia="仿宋" w:cs="宋体"/>
          <w:color w:val="000000" w:themeColor="text1"/>
          <w:sz w:val="28"/>
          <w:szCs w:val="28"/>
          <w14:textFill>
            <w14:solidFill>
              <w14:schemeClr w14:val="tx1"/>
            </w14:solidFill>
          </w14:textFill>
        </w:rPr>
        <w:t>2、法定代表人参加磋商的无需提供磋商授权书，提供身份证明扫描件。</w:t>
      </w:r>
    </w:p>
    <w:p>
      <w:pPr>
        <w:spacing w:line="400" w:lineRule="atLeast"/>
        <w:ind w:firstLine="570"/>
        <w:rPr>
          <w:rFonts w:ascii="仿宋" w:hAnsi="仿宋" w:eastAsia="仿宋" w:cs="宋体"/>
          <w:color w:val="000000" w:themeColor="text1"/>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adjustRightInd/>
        <w:snapToGrid/>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adjustRightInd/>
        <w:snapToGrid/>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ascii="仿宋" w:hAnsi="仿宋" w:eastAsia="仿宋" w:cs="??_GB2312"/>
          <w:color w:val="000000" w:themeColor="text1"/>
          <w:kern w:val="0"/>
          <w:sz w:val="28"/>
          <w:szCs w:val="28"/>
          <w14:textFill>
            <w14:solidFill>
              <w14:schemeClr w14:val="tx1"/>
            </w14:solidFill>
          </w14:textFill>
        </w:rPr>
        <w:br w:type="page"/>
      </w:r>
    </w:p>
    <w:p>
      <w:pPr>
        <w:keepNext w:val="0"/>
        <w:keepLines w:val="0"/>
        <w:pageBreakBefore w:val="0"/>
        <w:widowControl w:val="0"/>
        <w:kinsoku w:val="0"/>
        <w:wordWrap/>
        <w:overflowPunct w:val="0"/>
        <w:topLinePunct w:val="0"/>
        <w:autoSpaceDE w:val="0"/>
        <w:autoSpaceDN w:val="0"/>
        <w:bidi w:val="0"/>
        <w:adjustRightInd/>
        <w:snapToGrid/>
        <w:spacing w:before="120" w:beforeLines="50"/>
        <w:jc w:val="center"/>
        <w:textAlignment w:val="auto"/>
        <w:outlineLvl w:val="9"/>
        <w:rPr>
          <w:rFonts w:ascii="黑体" w:hAnsi="黑体" w:eastAsia="黑体" w:cs="??_GB2312"/>
          <w:color w:val="000000" w:themeColor="text1"/>
          <w:kern w:val="0"/>
          <w:sz w:val="28"/>
          <w:szCs w:val="28"/>
          <w14:textFill>
            <w14:solidFill>
              <w14:schemeClr w14:val="tx1"/>
            </w14:solidFill>
          </w14:textFill>
        </w:rPr>
      </w:pPr>
      <w:r>
        <w:rPr>
          <w:rFonts w:hint="eastAsia" w:ascii="黑体" w:hAnsi="黑体" w:eastAsia="黑体" w:cs="??_GB2312"/>
          <w:color w:val="000000" w:themeColor="text1"/>
          <w:kern w:val="0"/>
          <w:sz w:val="28"/>
          <w:szCs w:val="28"/>
          <w:lang w:eastAsia="zh-CN"/>
          <w14:textFill>
            <w14:solidFill>
              <w14:schemeClr w14:val="tx1"/>
            </w14:solidFill>
          </w14:textFill>
        </w:rPr>
        <w:t>六</w:t>
      </w:r>
      <w:r>
        <w:rPr>
          <w:rFonts w:hint="eastAsia" w:ascii="黑体" w:hAnsi="黑体" w:eastAsia="黑体" w:cs="??_GB2312"/>
          <w:color w:val="000000" w:themeColor="text1"/>
          <w:kern w:val="0"/>
          <w:sz w:val="28"/>
          <w:szCs w:val="28"/>
          <w14:textFill>
            <w14:solidFill>
              <w14:schemeClr w14:val="tx1"/>
            </w14:solidFill>
          </w14:textFill>
        </w:rPr>
        <w:t>、磋商响应表</w:t>
      </w:r>
    </w:p>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6.1商务响应表</w:t>
      </w:r>
    </w:p>
    <w:tbl>
      <w:tblPr>
        <w:tblStyle w:val="37"/>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410"/>
        <w:gridCol w:w="2126"/>
        <w:gridCol w:w="1843"/>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序号</w:t>
            </w:r>
          </w:p>
        </w:tc>
        <w:tc>
          <w:tcPr>
            <w:tcW w:w="2410" w:type="dxa"/>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商务条款</w:t>
            </w:r>
          </w:p>
        </w:tc>
        <w:tc>
          <w:tcPr>
            <w:tcW w:w="2126" w:type="dxa"/>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磋商文件要求</w:t>
            </w:r>
          </w:p>
        </w:tc>
        <w:tc>
          <w:tcPr>
            <w:tcW w:w="1843" w:type="dxa"/>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供应商承诺</w:t>
            </w:r>
          </w:p>
        </w:tc>
        <w:tc>
          <w:tcPr>
            <w:tcW w:w="1474" w:type="dxa"/>
            <w:shd w:val="clear" w:color="auto" w:fill="auto"/>
            <w:vAlign w:val="center"/>
          </w:tcPr>
          <w:p>
            <w:pPr>
              <w:keepNext w:val="0"/>
              <w:keepLines w:val="0"/>
              <w:pageBreakBefore w:val="0"/>
              <w:widowControl w:val="0"/>
              <w:kinsoku w:val="0"/>
              <w:wordWrap/>
              <w:overflowPunct w:val="0"/>
              <w:topLinePunct w:val="0"/>
              <w:autoSpaceDE w:val="0"/>
              <w:autoSpaceDN w:val="0"/>
              <w:bidi w:val="0"/>
              <w:adjustRightInd/>
              <w:snapToGrid/>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1</w:t>
            </w:r>
          </w:p>
        </w:tc>
        <w:tc>
          <w:tcPr>
            <w:tcW w:w="2410"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付款方式</w:t>
            </w:r>
          </w:p>
        </w:tc>
        <w:tc>
          <w:tcPr>
            <w:tcW w:w="2126"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c>
          <w:tcPr>
            <w:tcW w:w="1843"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c>
          <w:tcPr>
            <w:tcW w:w="1474"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2</w:t>
            </w:r>
          </w:p>
        </w:tc>
        <w:tc>
          <w:tcPr>
            <w:tcW w:w="2410"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服务地点</w:t>
            </w:r>
          </w:p>
        </w:tc>
        <w:tc>
          <w:tcPr>
            <w:tcW w:w="2126"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c>
          <w:tcPr>
            <w:tcW w:w="1843"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c>
          <w:tcPr>
            <w:tcW w:w="1474"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3</w:t>
            </w:r>
          </w:p>
        </w:tc>
        <w:tc>
          <w:tcPr>
            <w:tcW w:w="2410"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服务期限</w:t>
            </w:r>
          </w:p>
        </w:tc>
        <w:tc>
          <w:tcPr>
            <w:tcW w:w="2126"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c>
          <w:tcPr>
            <w:tcW w:w="1843"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c>
          <w:tcPr>
            <w:tcW w:w="1474"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ascii="仿宋" w:hAnsi="仿宋" w:eastAsia="仿宋" w:cs="??_GB2312"/>
                <w:color w:val="000000" w:themeColor="text1"/>
                <w:kern w:val="0"/>
                <w:sz w:val="28"/>
                <w:szCs w:val="28"/>
                <w14:textFill>
                  <w14:solidFill>
                    <w14:schemeClr w14:val="tx1"/>
                  </w14:solidFill>
                </w14:textFill>
              </w:rPr>
              <w:t>…</w:t>
            </w:r>
          </w:p>
        </w:tc>
        <w:tc>
          <w:tcPr>
            <w:tcW w:w="2410"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c>
          <w:tcPr>
            <w:tcW w:w="2126"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c>
          <w:tcPr>
            <w:tcW w:w="1843"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c>
          <w:tcPr>
            <w:tcW w:w="1474" w:type="dxa"/>
            <w:shd w:val="clear" w:color="auto" w:fill="auto"/>
          </w:tcPr>
          <w:p>
            <w:pPr>
              <w:keepNext w:val="0"/>
              <w:keepLines w:val="0"/>
              <w:pageBreakBefore w:val="0"/>
              <w:widowControl w:val="0"/>
              <w:kinsoku w:val="0"/>
              <w:wordWrap/>
              <w:overflowPunct w:val="0"/>
              <w:topLinePunct w:val="0"/>
              <w:autoSpaceDE w:val="0"/>
              <w:autoSpaceDN w:val="0"/>
              <w:bidi w:val="0"/>
              <w:adjustRightInd/>
              <w:snapToGrid/>
              <w:spacing w:before="120" w:beforeLines="50"/>
              <w:textAlignment w:val="auto"/>
              <w:outlineLvl w:val="9"/>
              <w:rPr>
                <w:rFonts w:ascii="仿宋" w:hAnsi="仿宋" w:eastAsia="仿宋" w:cs="??_GB2312"/>
                <w:color w:val="000000" w:themeColor="text1"/>
                <w:kern w:val="0"/>
                <w:sz w:val="28"/>
                <w:szCs w:val="28"/>
                <w14:textFill>
                  <w14:solidFill>
                    <w14:schemeClr w14:val="tx1"/>
                  </w14:solidFill>
                </w14:textFill>
              </w:rPr>
            </w:pPr>
          </w:p>
        </w:tc>
      </w:tr>
    </w:tbl>
    <w:p>
      <w:pPr>
        <w:adjustRightInd w:val="0"/>
        <w:snapToGrid w:val="0"/>
        <w:spacing w:line="360" w:lineRule="auto"/>
        <w:ind w:firstLine="2380" w:firstLineChars="850"/>
        <w:rPr>
          <w:rFonts w:ascii="仿宋" w:hAnsi="仿宋" w:eastAsia="仿宋"/>
          <w:color w:val="000000" w:themeColor="text1"/>
          <w:sz w:val="28"/>
          <w:szCs w:val="28"/>
          <w14:textFill>
            <w14:solidFill>
              <w14:schemeClr w14:val="tx1"/>
            </w14:solidFill>
          </w14:textFill>
        </w:rPr>
      </w:pPr>
    </w:p>
    <w:p>
      <w:pPr>
        <w:adjustRightInd w:val="0"/>
        <w:snapToGrid w:val="0"/>
        <w:spacing w:line="360" w:lineRule="auto"/>
        <w:ind w:firstLine="2380" w:firstLineChars="85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供应商</w:t>
      </w:r>
      <w:r>
        <w:rPr>
          <w:rFonts w:hint="eastAsia" w:ascii="仿宋" w:hAnsi="仿宋" w:eastAsia="仿宋"/>
          <w:color w:val="000000" w:themeColor="text1"/>
          <w:sz w:val="28"/>
          <w:szCs w:val="28"/>
          <w:lang w:val="en-US" w:eastAsia="zh-CN"/>
          <w14:textFill>
            <w14:solidFill>
              <w14:schemeClr w14:val="tx1"/>
            </w14:solidFill>
          </w14:textFill>
        </w:rPr>
        <w:t>盖</w:t>
      </w:r>
      <w:r>
        <w:rPr>
          <w:rFonts w:hint="eastAsia" w:ascii="仿宋" w:hAnsi="仿宋" w:eastAsia="仿宋"/>
          <w:color w:val="000000" w:themeColor="text1"/>
          <w:sz w:val="28"/>
          <w:szCs w:val="28"/>
          <w14:textFill>
            <w14:solidFill>
              <w14:schemeClr w14:val="tx1"/>
            </w14:solidFill>
          </w14:textFill>
        </w:rPr>
        <w:t>章：</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       </w:t>
      </w:r>
    </w:p>
    <w:p>
      <w:pPr>
        <w:adjustRightInd w:val="0"/>
        <w:snapToGrid w:val="0"/>
        <w:spacing w:line="360" w:lineRule="auto"/>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日             期：</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pPr>
        <w:keepNext w:val="0"/>
        <w:keepLines w:val="0"/>
        <w:pageBreakBefore w:val="0"/>
        <w:widowControl w:val="0"/>
        <w:kinsoku w:val="0"/>
        <w:wordWrap/>
        <w:overflowPunct w:val="0"/>
        <w:topLinePunct w:val="0"/>
        <w:autoSpaceDE w:val="0"/>
        <w:autoSpaceDN w:val="0"/>
        <w:bidi w:val="0"/>
        <w:spacing w:line="540" w:lineRule="exact"/>
        <w:ind w:right="-335" w:firstLine="70" w:firstLineChars="25"/>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line="540" w:lineRule="exact"/>
        <w:ind w:right="-335" w:firstLine="70" w:firstLineChars="25"/>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line="540" w:lineRule="exact"/>
        <w:ind w:right="-335" w:firstLine="70" w:firstLineChars="25"/>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bidi w:val="0"/>
        <w:spacing w:line="360" w:lineRule="auto"/>
        <w:ind w:firstLine="560" w:firstLineChars="200"/>
        <w:jc w:val="center"/>
        <w:textAlignment w:val="auto"/>
        <w:outlineLvl w:val="9"/>
        <w:rPr>
          <w:rFonts w:ascii="黑体" w:hAnsi="黑体" w:eastAsia="黑体"/>
          <w:color w:val="000000" w:themeColor="text1"/>
          <w:sz w:val="28"/>
          <w:szCs w:val="28"/>
          <w14:textFill>
            <w14:solidFill>
              <w14:schemeClr w14:val="tx1"/>
            </w14:solidFill>
          </w14:textFill>
        </w:rPr>
      </w:pPr>
      <w:r>
        <w:rPr>
          <w:rFonts w:ascii="黑体" w:hAnsi="黑体" w:eastAsia="黑体"/>
          <w:color w:val="000000" w:themeColor="text1"/>
          <w:sz w:val="28"/>
          <w:szCs w:val="28"/>
          <w14:textFill>
            <w14:solidFill>
              <w14:schemeClr w14:val="tx1"/>
            </w14:solidFill>
          </w14:textFill>
        </w:rPr>
        <w:br w:type="page"/>
      </w:r>
    </w:p>
    <w:p>
      <w:pPr>
        <w:keepNext w:val="0"/>
        <w:keepLines w:val="0"/>
        <w:pageBreakBefore w:val="0"/>
        <w:widowControl w:val="0"/>
        <w:wordWrap/>
        <w:topLinePunct w:val="0"/>
        <w:bidi w:val="0"/>
        <w:spacing w:line="360" w:lineRule="auto"/>
        <w:ind w:firstLine="560" w:firstLineChars="200"/>
        <w:jc w:val="center"/>
        <w:textAlignment w:val="auto"/>
        <w:outlineLvl w:val="9"/>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lang w:eastAsia="zh-CN"/>
          <w14:textFill>
            <w14:solidFill>
              <w14:schemeClr w14:val="tx1"/>
            </w14:solidFill>
          </w14:textFill>
        </w:rPr>
        <w:t>七</w:t>
      </w:r>
      <w:r>
        <w:rPr>
          <w:rFonts w:hint="eastAsia" w:ascii="黑体" w:hAnsi="黑体" w:eastAsia="黑体"/>
          <w:color w:val="000000" w:themeColor="text1"/>
          <w:sz w:val="28"/>
          <w:szCs w:val="28"/>
          <w14:textFill>
            <w14:solidFill>
              <w14:schemeClr w14:val="tx1"/>
            </w14:solidFill>
          </w14:textFill>
        </w:rPr>
        <w:t>、磋商业绩承诺函（未作要求，无需此件）</w:t>
      </w:r>
    </w:p>
    <w:p>
      <w:pPr>
        <w:keepNext w:val="0"/>
        <w:keepLines w:val="0"/>
        <w:pageBreakBefore w:val="0"/>
        <w:widowControl w:val="0"/>
        <w:wordWrap/>
        <w:topLinePunct w:val="0"/>
        <w:bidi w:val="0"/>
        <w:ind w:firstLine="54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我公司同意评审结果公告中公示以下业绩并承诺：响应文件中所提供的业绩均真实有效，甲方采购单位均真实有效，若有异议，我公司承诺会在3个工作日内可就以下业绩信息提供（合同、对应的发票、验收报告或用户评价意见）原件供贵单位核对。若被发现存在任何虚假、隐瞒情况，我公司承担由此产生的一切后果。</w:t>
      </w:r>
    </w:p>
    <w:p>
      <w:pPr>
        <w:keepNext w:val="0"/>
        <w:keepLines w:val="0"/>
        <w:pageBreakBefore w:val="0"/>
        <w:widowControl w:val="0"/>
        <w:wordWrap/>
        <w:topLinePunct w:val="0"/>
        <w:bidi w:val="0"/>
        <w:ind w:firstLine="54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附业绩合同信息表</w:t>
      </w:r>
    </w:p>
    <w:tbl>
      <w:tblPr>
        <w:tblStyle w:val="37"/>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1417"/>
        <w:gridCol w:w="1842"/>
        <w:gridCol w:w="1702"/>
        <w:gridCol w:w="2007"/>
        <w:gridCol w:w="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vAlign w:val="center"/>
          </w:tcPr>
          <w:p>
            <w:pPr>
              <w:keepNext w:val="0"/>
              <w:keepLines w:val="0"/>
              <w:pageBreakBefore w:val="0"/>
              <w:widowControl w:val="0"/>
              <w:wordWrap/>
              <w:topLinePunct w:val="0"/>
              <w:bidi w:val="0"/>
              <w:spacing w:line="360" w:lineRule="auto"/>
              <w:jc w:val="center"/>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序号</w:t>
            </w:r>
          </w:p>
        </w:tc>
        <w:tc>
          <w:tcPr>
            <w:tcW w:w="1417" w:type="dxa"/>
            <w:shd w:val="clear" w:color="auto" w:fill="auto"/>
            <w:vAlign w:val="center"/>
          </w:tcPr>
          <w:p>
            <w:pPr>
              <w:keepNext w:val="0"/>
              <w:keepLines w:val="0"/>
              <w:pageBreakBefore w:val="0"/>
              <w:widowControl w:val="0"/>
              <w:wordWrap/>
              <w:topLinePunct w:val="0"/>
              <w:bidi w:val="0"/>
              <w:spacing w:line="360" w:lineRule="auto"/>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项目名称</w:t>
            </w:r>
          </w:p>
        </w:tc>
        <w:tc>
          <w:tcPr>
            <w:tcW w:w="1842" w:type="dxa"/>
            <w:shd w:val="clear" w:color="auto" w:fill="auto"/>
            <w:vAlign w:val="center"/>
          </w:tcPr>
          <w:p>
            <w:pPr>
              <w:keepNext w:val="0"/>
              <w:keepLines w:val="0"/>
              <w:pageBreakBefore w:val="0"/>
              <w:widowControl w:val="0"/>
              <w:wordWrap/>
              <w:topLinePunct w:val="0"/>
              <w:bidi w:val="0"/>
              <w:spacing w:line="360" w:lineRule="auto"/>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服务范围</w:t>
            </w:r>
          </w:p>
        </w:tc>
        <w:tc>
          <w:tcPr>
            <w:tcW w:w="1702" w:type="dxa"/>
            <w:shd w:val="clear" w:color="auto" w:fill="auto"/>
            <w:vAlign w:val="center"/>
          </w:tcPr>
          <w:p>
            <w:pPr>
              <w:keepNext w:val="0"/>
              <w:keepLines w:val="0"/>
              <w:pageBreakBefore w:val="0"/>
              <w:widowControl w:val="0"/>
              <w:wordWrap/>
              <w:topLinePunct w:val="0"/>
              <w:bidi w:val="0"/>
              <w:spacing w:line="360" w:lineRule="auto"/>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合同总金额</w:t>
            </w:r>
          </w:p>
        </w:tc>
        <w:tc>
          <w:tcPr>
            <w:tcW w:w="2007" w:type="dxa"/>
            <w:shd w:val="clear" w:color="auto" w:fill="auto"/>
            <w:vAlign w:val="center"/>
          </w:tcPr>
          <w:p>
            <w:pPr>
              <w:keepNext w:val="0"/>
              <w:keepLines w:val="0"/>
              <w:pageBreakBefore w:val="0"/>
              <w:widowControl w:val="0"/>
              <w:wordWrap/>
              <w:topLinePunct w:val="0"/>
              <w:bidi w:val="0"/>
              <w:spacing w:line="360" w:lineRule="auto"/>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业主单位及联系方式</w:t>
            </w:r>
          </w:p>
        </w:tc>
        <w:tc>
          <w:tcPr>
            <w:tcW w:w="881" w:type="dxa"/>
            <w:shd w:val="clear" w:color="auto" w:fill="auto"/>
            <w:vAlign w:val="center"/>
          </w:tcPr>
          <w:p>
            <w:pPr>
              <w:keepNext w:val="0"/>
              <w:keepLines w:val="0"/>
              <w:pageBreakBefore w:val="0"/>
              <w:widowControl w:val="0"/>
              <w:wordWrap/>
              <w:topLinePunct w:val="0"/>
              <w:bidi w:val="0"/>
              <w:spacing w:line="360" w:lineRule="auto"/>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tcPr>
          <w:p>
            <w:pPr>
              <w:keepNext w:val="0"/>
              <w:keepLines w:val="0"/>
              <w:pageBreakBefore w:val="0"/>
              <w:widowControl w:val="0"/>
              <w:wordWrap/>
              <w:topLinePunct w:val="0"/>
              <w:bidi w:val="0"/>
              <w:spacing w:line="360" w:lineRule="auto"/>
              <w:jc w:val="left"/>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w:t>
            </w:r>
          </w:p>
        </w:tc>
        <w:tc>
          <w:tcPr>
            <w:tcW w:w="1417"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1842"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1702"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2007"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881"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tcPr>
          <w:p>
            <w:pPr>
              <w:keepNext w:val="0"/>
              <w:keepLines w:val="0"/>
              <w:pageBreakBefore w:val="0"/>
              <w:widowControl w:val="0"/>
              <w:wordWrap/>
              <w:topLinePunct w:val="0"/>
              <w:bidi w:val="0"/>
              <w:spacing w:line="360" w:lineRule="auto"/>
              <w:jc w:val="left"/>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w:t>
            </w:r>
          </w:p>
        </w:tc>
        <w:tc>
          <w:tcPr>
            <w:tcW w:w="1417"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1842"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1702"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2007"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881"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tcPr>
          <w:p>
            <w:pPr>
              <w:keepNext w:val="0"/>
              <w:keepLines w:val="0"/>
              <w:pageBreakBefore w:val="0"/>
              <w:widowControl w:val="0"/>
              <w:wordWrap/>
              <w:topLinePunct w:val="0"/>
              <w:bidi w:val="0"/>
              <w:spacing w:line="360" w:lineRule="auto"/>
              <w:jc w:val="left"/>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3</w:t>
            </w:r>
          </w:p>
        </w:tc>
        <w:tc>
          <w:tcPr>
            <w:tcW w:w="1417"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1842"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1702"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2007"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881"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tcPr>
          <w:p>
            <w:pPr>
              <w:keepNext w:val="0"/>
              <w:keepLines w:val="0"/>
              <w:pageBreakBefore w:val="0"/>
              <w:widowControl w:val="0"/>
              <w:wordWrap/>
              <w:topLinePunct w:val="0"/>
              <w:bidi w:val="0"/>
              <w:spacing w:line="360" w:lineRule="auto"/>
              <w:jc w:val="left"/>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w:t>
            </w:r>
          </w:p>
        </w:tc>
        <w:tc>
          <w:tcPr>
            <w:tcW w:w="1417"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1842"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1702"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2007"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881"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tcPr>
          <w:p>
            <w:pPr>
              <w:keepNext w:val="0"/>
              <w:keepLines w:val="0"/>
              <w:pageBreakBefore w:val="0"/>
              <w:widowControl w:val="0"/>
              <w:wordWrap/>
              <w:topLinePunct w:val="0"/>
              <w:bidi w:val="0"/>
              <w:spacing w:line="360" w:lineRule="auto"/>
              <w:jc w:val="left"/>
              <w:textAlignment w:val="auto"/>
              <w:outlineLvl w:val="9"/>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t>…</w:t>
            </w:r>
          </w:p>
        </w:tc>
        <w:tc>
          <w:tcPr>
            <w:tcW w:w="1417"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1842"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1702"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2007"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c>
          <w:tcPr>
            <w:tcW w:w="881" w:type="dxa"/>
            <w:shd w:val="clear" w:color="auto" w:fill="auto"/>
          </w:tcPr>
          <w:p>
            <w:pPr>
              <w:keepNext w:val="0"/>
              <w:keepLines w:val="0"/>
              <w:pageBreakBefore w:val="0"/>
              <w:widowControl w:val="0"/>
              <w:wordWrap/>
              <w:topLinePunct w:val="0"/>
              <w:bidi w:val="0"/>
              <w:spacing w:line="360" w:lineRule="auto"/>
              <w:ind w:firstLine="560" w:firstLineChars="200"/>
              <w:jc w:val="left"/>
              <w:textAlignment w:val="auto"/>
              <w:outlineLvl w:val="9"/>
              <w:rPr>
                <w:rFonts w:ascii="仿宋" w:hAnsi="仿宋" w:eastAsia="仿宋"/>
                <w:color w:val="000000" w:themeColor="text1"/>
                <w:sz w:val="28"/>
                <w:szCs w:val="28"/>
                <w14:textFill>
                  <w14:solidFill>
                    <w14:schemeClr w14:val="tx1"/>
                  </w14:solidFill>
                </w14:textFill>
              </w:rPr>
            </w:pPr>
          </w:p>
        </w:tc>
      </w:tr>
    </w:tbl>
    <w:p>
      <w:pPr>
        <w:keepNext w:val="0"/>
        <w:keepLines w:val="0"/>
        <w:pageBreakBefore w:val="0"/>
        <w:widowControl w:val="0"/>
        <w:wordWrap/>
        <w:topLinePunct w:val="0"/>
        <w:bidi w:val="0"/>
        <w:spacing w:line="360" w:lineRule="auto"/>
        <w:jc w:val="left"/>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bidi w:val="0"/>
        <w:adjustRightInd w:val="0"/>
        <w:snapToGrid w:val="0"/>
        <w:spacing w:line="360" w:lineRule="auto"/>
        <w:ind w:left="2381" w:leftChars="1134"/>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bidi w:val="0"/>
        <w:adjustRightInd w:val="0"/>
        <w:snapToGrid w:val="0"/>
        <w:spacing w:line="360" w:lineRule="auto"/>
        <w:ind w:left="2381" w:leftChars="1134"/>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供应商</w:t>
      </w:r>
      <w:r>
        <w:rPr>
          <w:rFonts w:hint="eastAsia" w:ascii="仿宋" w:hAnsi="仿宋" w:eastAsia="仿宋"/>
          <w:color w:val="000000" w:themeColor="text1"/>
          <w:sz w:val="28"/>
          <w:szCs w:val="28"/>
          <w:lang w:val="en-US" w:eastAsia="zh-CN"/>
          <w14:textFill>
            <w14:solidFill>
              <w14:schemeClr w14:val="tx1"/>
            </w14:solidFill>
          </w14:textFill>
        </w:rPr>
        <w:t>盖</w:t>
      </w:r>
      <w:r>
        <w:rPr>
          <w:rFonts w:hint="eastAsia" w:ascii="仿宋" w:hAnsi="仿宋" w:eastAsia="仿宋"/>
          <w:color w:val="000000" w:themeColor="text1"/>
          <w:sz w:val="28"/>
          <w:szCs w:val="28"/>
          <w14:textFill>
            <w14:solidFill>
              <w14:schemeClr w14:val="tx1"/>
            </w14:solidFill>
          </w14:textFill>
        </w:rPr>
        <w:t>章：</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       </w:t>
      </w:r>
    </w:p>
    <w:p>
      <w:pPr>
        <w:keepNext w:val="0"/>
        <w:keepLines w:val="0"/>
        <w:pageBreakBefore w:val="0"/>
        <w:widowControl w:val="0"/>
        <w:wordWrap/>
        <w:topLinePunct w:val="0"/>
        <w:bidi w:val="0"/>
        <w:adjustRightInd w:val="0"/>
        <w:snapToGrid w:val="0"/>
        <w:spacing w:line="360" w:lineRule="auto"/>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日             期：</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pPr>
        <w:keepNext w:val="0"/>
        <w:keepLines w:val="0"/>
        <w:pageBreakBefore w:val="0"/>
        <w:widowControl w:val="0"/>
        <w:wordWrap/>
        <w:topLinePunct w:val="0"/>
        <w:bidi w:val="0"/>
        <w:spacing w:line="360" w:lineRule="auto"/>
        <w:jc w:val="left"/>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bidi w:val="0"/>
        <w:ind w:firstLine="54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备注：1表中所列业绩应为满足磋商文件要求的业绩 ；</w:t>
      </w:r>
    </w:p>
    <w:p>
      <w:pPr>
        <w:keepNext w:val="0"/>
        <w:keepLines w:val="0"/>
        <w:pageBreakBefore w:val="0"/>
        <w:widowControl w:val="0"/>
        <w:wordWrap/>
        <w:topLinePunct w:val="0"/>
        <w:bidi w:val="0"/>
        <w:ind w:firstLine="54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2、成交供应商提供的以上业绩情况，如磋商文件有约定的，将按约定随评审结果公告。</w:t>
      </w:r>
    </w:p>
    <w:p>
      <w:pPr>
        <w:keepNext w:val="0"/>
        <w:keepLines w:val="0"/>
        <w:pageBreakBefore w:val="0"/>
        <w:widowControl w:val="0"/>
        <w:wordWrap/>
        <w:topLinePunct w:val="0"/>
        <w:bidi w:val="0"/>
        <w:spacing w:line="360" w:lineRule="auto"/>
        <w:ind w:firstLine="560" w:firstLineChars="200"/>
        <w:jc w:val="center"/>
        <w:textAlignment w:val="auto"/>
        <w:outlineLvl w:val="9"/>
        <w:rPr>
          <w:rFonts w:ascii="仿宋" w:hAnsi="仿宋" w:eastAsia="仿宋" w:cs="宋体"/>
          <w:color w:val="000000" w:themeColor="text1"/>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ascii="仿宋" w:hAnsi="仿宋" w:eastAsia="仿宋" w:cs="??_GB2312"/>
          <w:color w:val="000000" w:themeColor="text1"/>
          <w:kern w:val="0"/>
          <w:sz w:val="28"/>
          <w:szCs w:val="28"/>
          <w14:textFill>
            <w14:solidFill>
              <w14:schemeClr w14:val="tx1"/>
            </w14:solidFill>
          </w14:textFill>
        </w:rPr>
        <w:br w:type="page"/>
      </w: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黑体" w:hAnsi="黑体" w:eastAsia="黑体" w:cs="??_GB2312"/>
          <w:color w:val="000000" w:themeColor="text1"/>
          <w:kern w:val="0"/>
          <w:sz w:val="28"/>
          <w:szCs w:val="28"/>
          <w14:textFill>
            <w14:solidFill>
              <w14:schemeClr w14:val="tx1"/>
            </w14:solidFill>
          </w14:textFill>
        </w:rPr>
      </w:pPr>
      <w:r>
        <w:rPr>
          <w:rFonts w:hint="eastAsia" w:ascii="黑体" w:hAnsi="黑体" w:eastAsia="黑体" w:cs="??_GB2312"/>
          <w:color w:val="000000" w:themeColor="text1"/>
          <w:kern w:val="0"/>
          <w:sz w:val="28"/>
          <w:szCs w:val="28"/>
          <w:lang w:eastAsia="zh-CN"/>
          <w14:textFill>
            <w14:solidFill>
              <w14:schemeClr w14:val="tx1"/>
            </w14:solidFill>
          </w14:textFill>
        </w:rPr>
        <w:t>八</w:t>
      </w:r>
      <w:r>
        <w:rPr>
          <w:rFonts w:hint="eastAsia" w:ascii="黑体" w:hAnsi="黑体" w:eastAsia="黑体" w:cs="??_GB2312"/>
          <w:color w:val="000000" w:themeColor="text1"/>
          <w:kern w:val="0"/>
          <w:sz w:val="28"/>
          <w:szCs w:val="28"/>
          <w14:textFill>
            <w14:solidFill>
              <w14:schemeClr w14:val="tx1"/>
            </w14:solidFill>
          </w14:textFill>
        </w:rPr>
        <w:t>、评分材料</w:t>
      </w:r>
    </w:p>
    <w:p>
      <w:pPr>
        <w:pStyle w:val="82"/>
        <w:keepNext w:val="0"/>
        <w:keepLines w:val="0"/>
        <w:pageBreakBefore w:val="0"/>
        <w:widowControl w:val="0"/>
        <w:wordWrap/>
        <w:topLinePunct w:val="0"/>
        <w:bidi w:val="0"/>
        <w:spacing w:before="120" w:line="360" w:lineRule="auto"/>
        <w:ind w:firstLine="548" w:firstLineChars="196"/>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b w:val="0"/>
          <w:color w:val="000000" w:themeColor="text1"/>
          <w:sz w:val="28"/>
          <w:szCs w:val="28"/>
          <w14:textFill>
            <w14:solidFill>
              <w14:schemeClr w14:val="tx1"/>
            </w14:solidFill>
          </w14:textFill>
        </w:rPr>
        <w:t>评标办法要求提供的材料可按评分要点要求顺序提供，以便于评审。</w:t>
      </w: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ascii="仿宋" w:hAnsi="仿宋" w:eastAsia="仿宋" w:cs="??_GB2312"/>
          <w:color w:val="000000" w:themeColor="text1"/>
          <w:kern w:val="0"/>
          <w:sz w:val="28"/>
          <w:szCs w:val="28"/>
          <w14:textFill>
            <w14:solidFill>
              <w14:schemeClr w14:val="tx1"/>
            </w14:solidFill>
          </w14:textFill>
        </w:rPr>
        <w:br w:type="page"/>
      </w:r>
    </w:p>
    <w:p>
      <w:pPr>
        <w:keepNext w:val="0"/>
        <w:keepLines w:val="0"/>
        <w:pageBreakBefore w:val="0"/>
        <w:widowControl w:val="0"/>
        <w:wordWrap/>
        <w:topLinePunct w:val="0"/>
        <w:bidi w:val="0"/>
        <w:jc w:val="center"/>
        <w:textAlignment w:val="auto"/>
        <w:outlineLvl w:val="9"/>
        <w:rPr>
          <w:rFonts w:ascii="黑体" w:hAnsi="黑体" w:eastAsia="黑体"/>
          <w:color w:val="000000" w:themeColor="text1"/>
          <w:sz w:val="28"/>
          <w:szCs w:val="28"/>
          <w14:textFill>
            <w14:solidFill>
              <w14:schemeClr w14:val="tx1"/>
            </w14:solidFill>
          </w14:textFill>
        </w:rPr>
      </w:pPr>
      <w:r>
        <w:rPr>
          <w:rFonts w:hint="eastAsia" w:ascii="黑体" w:hAnsi="黑体" w:eastAsia="黑体" w:cs="??_GB2312"/>
          <w:color w:val="000000" w:themeColor="text1"/>
          <w:kern w:val="0"/>
          <w:sz w:val="28"/>
          <w:szCs w:val="28"/>
          <w:lang w:eastAsia="zh-CN"/>
          <w14:textFill>
            <w14:solidFill>
              <w14:schemeClr w14:val="tx1"/>
            </w14:solidFill>
          </w14:textFill>
        </w:rPr>
        <w:t>九</w:t>
      </w:r>
      <w:r>
        <w:rPr>
          <w:rFonts w:hint="eastAsia" w:ascii="黑体" w:hAnsi="黑体" w:eastAsia="黑体" w:cs="??_GB2312"/>
          <w:color w:val="000000" w:themeColor="text1"/>
          <w:kern w:val="0"/>
          <w:sz w:val="28"/>
          <w:szCs w:val="28"/>
          <w14:textFill>
            <w14:solidFill>
              <w14:schemeClr w14:val="tx1"/>
            </w14:solidFill>
          </w14:textFill>
        </w:rPr>
        <w:t>、</w:t>
      </w:r>
      <w:r>
        <w:rPr>
          <w:rFonts w:hint="eastAsia" w:ascii="黑体" w:hAnsi="黑体" w:eastAsia="黑体"/>
          <w:color w:val="000000" w:themeColor="text1"/>
          <w:sz w:val="28"/>
          <w:szCs w:val="28"/>
          <w14:textFill>
            <w14:solidFill>
              <w14:schemeClr w14:val="tx1"/>
            </w14:solidFill>
          </w14:textFill>
        </w:rPr>
        <w:t>主要成交标的承诺函</w:t>
      </w:r>
    </w:p>
    <w:p>
      <w:pPr>
        <w:keepNext w:val="0"/>
        <w:keepLines w:val="0"/>
        <w:pageBreakBefore w:val="0"/>
        <w:widowControl w:val="0"/>
        <w:wordWrap/>
        <w:topLinePunct w:val="0"/>
        <w:bidi w:val="0"/>
        <w:ind w:left="141" w:leftChars="67" w:firstLine="420" w:firstLineChars="15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我公司同意评审结果公告中公告以下主要成交标的并承诺：投标文件中所提供的主要成交标的均真实有效。若被发现存在任何虚假、隐瞒情况，我公司承担由此产生的一切后果。</w:t>
      </w:r>
    </w:p>
    <w:tbl>
      <w:tblPr>
        <w:tblStyle w:val="131"/>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9"/>
        <w:gridCol w:w="6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9" w:type="dxa"/>
            <w:vAlign w:val="center"/>
          </w:tcPr>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名称</w:t>
            </w:r>
          </w:p>
        </w:tc>
        <w:tc>
          <w:tcPr>
            <w:tcW w:w="6469" w:type="dxa"/>
          </w:tcPr>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u w:val="single"/>
                <w14:textFill>
                  <w14:solidFill>
                    <w14:schemeClr w14:val="tx1"/>
                  </w14:solidFill>
                </w14:textFill>
              </w:rPr>
            </w:pPr>
            <w:r>
              <w:rPr>
                <w:rFonts w:hint="eastAsia" w:ascii="仿宋" w:hAnsi="仿宋" w:eastAsia="仿宋" w:cs="@仿宋_GB2312"/>
                <w:color w:val="000000" w:themeColor="text1"/>
                <w:sz w:val="28"/>
                <w:szCs w:val="28"/>
                <w:u w:val="single"/>
                <w14:textFill>
                  <w14:solidFill>
                    <w14:schemeClr w14:val="tx1"/>
                  </w14:solidFill>
                </w14:textFill>
              </w:rPr>
              <w:t>某项目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9" w:type="dxa"/>
            <w:vAlign w:val="center"/>
          </w:tcPr>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服务范围</w:t>
            </w:r>
          </w:p>
        </w:tc>
        <w:tc>
          <w:tcPr>
            <w:tcW w:w="6469" w:type="dxa"/>
          </w:tcPr>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9" w:type="dxa"/>
            <w:vAlign w:val="center"/>
          </w:tcPr>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服务要求</w:t>
            </w:r>
          </w:p>
        </w:tc>
        <w:tc>
          <w:tcPr>
            <w:tcW w:w="6469" w:type="dxa"/>
          </w:tcPr>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u w:val="single"/>
                <w14:textFill>
                  <w14:solidFill>
                    <w14:schemeClr w14:val="tx1"/>
                  </w14:solidFill>
                </w14:textFill>
              </w:rPr>
            </w:pPr>
          </w:p>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u w:val="single"/>
                <w14:textFill>
                  <w14:solidFill>
                    <w14:schemeClr w14:val="tx1"/>
                  </w14:solidFill>
                </w14:textFill>
              </w:rPr>
            </w:pPr>
          </w:p>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u w:val="single"/>
                <w14:textFill>
                  <w14:solidFill>
                    <w14:schemeClr w14:val="tx1"/>
                  </w14:solidFill>
                </w14:textFill>
              </w:rPr>
            </w:pPr>
          </w:p>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9" w:type="dxa"/>
            <w:vAlign w:val="center"/>
          </w:tcPr>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服务期限</w:t>
            </w:r>
          </w:p>
        </w:tc>
        <w:tc>
          <w:tcPr>
            <w:tcW w:w="6469" w:type="dxa"/>
          </w:tcPr>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u w:val="singl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9" w:type="dxa"/>
            <w:vAlign w:val="center"/>
          </w:tcPr>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14:textFill>
                  <w14:solidFill>
                    <w14:schemeClr w14:val="tx1"/>
                  </w14:solidFill>
                </w14:textFill>
              </w:rPr>
            </w:pPr>
            <w:r>
              <w:rPr>
                <w:rFonts w:hint="eastAsia" w:ascii="仿宋" w:hAnsi="仿宋" w:eastAsia="仿宋" w:cs="@仿宋_GB2312"/>
                <w:color w:val="000000" w:themeColor="text1"/>
                <w:sz w:val="28"/>
                <w:szCs w:val="28"/>
                <w14:textFill>
                  <w14:solidFill>
                    <w14:schemeClr w14:val="tx1"/>
                  </w14:solidFill>
                </w14:textFill>
              </w:rPr>
              <w:t>服务标准</w:t>
            </w:r>
          </w:p>
        </w:tc>
        <w:tc>
          <w:tcPr>
            <w:tcW w:w="6469" w:type="dxa"/>
          </w:tcPr>
          <w:p>
            <w:pPr>
              <w:keepNext w:val="0"/>
              <w:keepLines w:val="0"/>
              <w:pageBreakBefore w:val="0"/>
              <w:widowControl w:val="0"/>
              <w:wordWrap/>
              <w:topLinePunct w:val="0"/>
              <w:bidi w:val="0"/>
              <w:spacing w:line="360" w:lineRule="auto"/>
              <w:jc w:val="center"/>
              <w:textAlignment w:val="auto"/>
              <w:outlineLvl w:val="9"/>
              <w:rPr>
                <w:rFonts w:ascii="仿宋" w:hAnsi="仿宋" w:eastAsia="仿宋" w:cs="@仿宋_GB2312"/>
                <w:color w:val="000000" w:themeColor="text1"/>
                <w:sz w:val="28"/>
                <w:szCs w:val="28"/>
                <w:u w:val="single"/>
                <w14:textFill>
                  <w14:solidFill>
                    <w14:schemeClr w14:val="tx1"/>
                  </w14:solidFill>
                </w14:textFill>
              </w:rPr>
            </w:pPr>
          </w:p>
        </w:tc>
      </w:tr>
    </w:tbl>
    <w:p>
      <w:pPr>
        <w:keepNext w:val="0"/>
        <w:keepLines w:val="0"/>
        <w:pageBreakBefore w:val="0"/>
        <w:widowControl w:val="0"/>
        <w:wordWrap/>
        <w:topLinePunct w:val="0"/>
        <w:bidi w:val="0"/>
        <w:ind w:left="141" w:leftChars="67" w:firstLine="420" w:firstLineChars="15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bidi w:val="0"/>
        <w:adjustRightInd w:val="0"/>
        <w:snapToGrid w:val="0"/>
        <w:spacing w:line="360" w:lineRule="auto"/>
        <w:ind w:left="2381" w:leftChars="1134"/>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bidi w:val="0"/>
        <w:adjustRightInd w:val="0"/>
        <w:snapToGrid w:val="0"/>
        <w:spacing w:line="360" w:lineRule="auto"/>
        <w:ind w:left="2381" w:leftChars="1134"/>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供应商</w:t>
      </w:r>
      <w:r>
        <w:rPr>
          <w:rFonts w:hint="eastAsia" w:ascii="仿宋" w:hAnsi="仿宋" w:eastAsia="仿宋"/>
          <w:color w:val="000000" w:themeColor="text1"/>
          <w:sz w:val="28"/>
          <w:szCs w:val="28"/>
          <w:lang w:val="en-US" w:eastAsia="zh-CN"/>
          <w14:textFill>
            <w14:solidFill>
              <w14:schemeClr w14:val="tx1"/>
            </w14:solidFill>
          </w14:textFill>
        </w:rPr>
        <w:t>盖</w:t>
      </w:r>
      <w:r>
        <w:rPr>
          <w:rFonts w:hint="eastAsia" w:ascii="仿宋" w:hAnsi="仿宋" w:eastAsia="仿宋"/>
          <w:color w:val="000000" w:themeColor="text1"/>
          <w:sz w:val="28"/>
          <w:szCs w:val="28"/>
          <w14:textFill>
            <w14:solidFill>
              <w14:schemeClr w14:val="tx1"/>
            </w14:solidFill>
          </w14:textFill>
        </w:rPr>
        <w:t>章：</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 xml:space="preserve">       </w:t>
      </w:r>
    </w:p>
    <w:p>
      <w:pPr>
        <w:keepNext w:val="0"/>
        <w:keepLines w:val="0"/>
        <w:pageBreakBefore w:val="0"/>
        <w:widowControl w:val="0"/>
        <w:wordWrap/>
        <w:topLinePunct w:val="0"/>
        <w:bidi w:val="0"/>
        <w:adjustRightInd w:val="0"/>
        <w:snapToGrid w:val="0"/>
        <w:spacing w:line="360" w:lineRule="auto"/>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日             期：</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年</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月</w:t>
      </w:r>
      <w:r>
        <w:rPr>
          <w:rFonts w:hint="eastAsia" w:ascii="仿宋" w:hAnsi="仿宋" w:eastAsia="仿宋"/>
          <w:color w:val="000000" w:themeColor="text1"/>
          <w:sz w:val="28"/>
          <w:szCs w:val="28"/>
          <w:u w:val="single"/>
          <w14:textFill>
            <w14:solidFill>
              <w14:schemeClr w14:val="tx1"/>
            </w14:solidFill>
          </w14:textFill>
        </w:rPr>
        <w:t xml:space="preserve">   </w:t>
      </w:r>
      <w:r>
        <w:rPr>
          <w:rFonts w:hint="eastAsia" w:ascii="仿宋" w:hAnsi="仿宋" w:eastAsia="仿宋"/>
          <w:color w:val="000000" w:themeColor="text1"/>
          <w:sz w:val="28"/>
          <w:szCs w:val="28"/>
          <w14:textFill>
            <w14:solidFill>
              <w14:schemeClr w14:val="tx1"/>
            </w14:solidFill>
          </w14:textFill>
        </w:rPr>
        <w:t>日</w:t>
      </w:r>
    </w:p>
    <w:p>
      <w:pPr>
        <w:keepNext w:val="0"/>
        <w:keepLines w:val="0"/>
        <w:pageBreakBefore w:val="0"/>
        <w:widowControl w:val="0"/>
        <w:wordWrap/>
        <w:topLinePunct w:val="0"/>
        <w:bidi w:val="0"/>
        <w:ind w:firstLine="560" w:firstLineChars="20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备注：</w:t>
      </w:r>
    </w:p>
    <w:p>
      <w:pPr>
        <w:keepNext w:val="0"/>
        <w:keepLines w:val="0"/>
        <w:pageBreakBefore w:val="0"/>
        <w:widowControl w:val="0"/>
        <w:wordWrap/>
        <w:topLinePunct w:val="0"/>
        <w:bidi w:val="0"/>
        <w:ind w:firstLine="560" w:firstLineChars="20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1.表中所列内容为满足本项目要求的主要成交标的信息；</w:t>
      </w:r>
    </w:p>
    <w:p>
      <w:pPr>
        <w:keepNext w:val="0"/>
        <w:keepLines w:val="0"/>
        <w:pageBreakBefore w:val="0"/>
        <w:widowControl w:val="0"/>
        <w:wordWrap/>
        <w:topLinePunct w:val="0"/>
        <w:bidi w:val="0"/>
        <w:ind w:firstLine="560" w:firstLineChars="20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2.成交供应商提供的以上承诺情况（含服务名称、服务范围、服务要求、服务期限、服务标准），将按约定随成交结果公告同时公告。</w:t>
      </w:r>
    </w:p>
    <w:p>
      <w:pPr>
        <w:keepNext w:val="0"/>
        <w:keepLines w:val="0"/>
        <w:pageBreakBefore w:val="0"/>
        <w:widowControl w:val="0"/>
        <w:wordWrap/>
        <w:topLinePunct w:val="0"/>
        <w:bidi w:val="0"/>
        <w:ind w:firstLine="560" w:firstLineChars="200"/>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3.本页《主要成交标的承诺函》由供应商准确填写。</w:t>
      </w:r>
    </w:p>
    <w:p>
      <w:pPr>
        <w:keepNext w:val="0"/>
        <w:keepLines w:val="0"/>
        <w:pageBreakBefore w:val="0"/>
        <w:widowControl w:val="0"/>
        <w:wordWrap/>
        <w:topLinePunct w:val="0"/>
        <w:bidi w:val="0"/>
        <w:ind w:left="141" w:leftChars="67" w:firstLine="420" w:firstLineChars="150"/>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w:t>
      </w: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 xml:space="preserve">               </w:t>
      </w: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ascii="仿宋" w:hAnsi="仿宋" w:eastAsia="仿宋" w:cs="??_GB2312"/>
          <w:color w:val="000000" w:themeColor="text1"/>
          <w:kern w:val="0"/>
          <w:sz w:val="28"/>
          <w:szCs w:val="28"/>
          <w14:textFill>
            <w14:solidFill>
              <w14:schemeClr w14:val="tx1"/>
            </w14:solidFill>
          </w14:textFill>
        </w:rPr>
        <w:br w:type="page"/>
      </w:r>
    </w:p>
    <w:p>
      <w:pPr>
        <w:keepNext w:val="0"/>
        <w:keepLines w:val="0"/>
        <w:pageBreakBefore w:val="0"/>
        <w:widowControl w:val="0"/>
        <w:wordWrap/>
        <w:topLinePunct w:val="0"/>
        <w:autoSpaceDE w:val="0"/>
        <w:autoSpaceDN w:val="0"/>
        <w:bidi w:val="0"/>
        <w:adjustRightInd w:val="0"/>
        <w:jc w:val="center"/>
        <w:textAlignment w:val="auto"/>
        <w:outlineLvl w:val="9"/>
        <w:rPr>
          <w:rFonts w:ascii="黑体" w:hAnsi="黑体" w:eastAsia="黑体" w:cs="??_GB2312"/>
          <w:color w:val="000000" w:themeColor="text1"/>
          <w:kern w:val="0"/>
          <w:sz w:val="28"/>
          <w:szCs w:val="28"/>
          <w14:textFill>
            <w14:solidFill>
              <w14:schemeClr w14:val="tx1"/>
            </w14:solidFill>
          </w14:textFill>
        </w:rPr>
      </w:pPr>
      <w:r>
        <w:rPr>
          <w:rFonts w:hint="eastAsia" w:ascii="黑体" w:hAnsi="黑体" w:eastAsia="黑体" w:cs="??_GB2312"/>
          <w:color w:val="000000" w:themeColor="text1"/>
          <w:kern w:val="0"/>
          <w:sz w:val="28"/>
          <w:szCs w:val="28"/>
          <w14:textFill>
            <w14:solidFill>
              <w14:schemeClr w14:val="tx1"/>
            </w14:solidFill>
          </w14:textFill>
        </w:rPr>
        <w:t>十、供应商综合情况简介</w:t>
      </w: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r>
        <w:rPr>
          <w:rFonts w:hint="eastAsia" w:ascii="仿宋" w:hAnsi="仿宋" w:eastAsia="仿宋" w:cs="??_GB2312"/>
          <w:color w:val="000000" w:themeColor="text1"/>
          <w:kern w:val="0"/>
          <w:sz w:val="28"/>
          <w:szCs w:val="28"/>
          <w14:textFill>
            <w14:solidFill>
              <w14:schemeClr w14:val="tx1"/>
            </w14:solidFill>
          </w14:textFill>
        </w:rPr>
        <w:t>（供应商可自行制作格式）</w:t>
      </w: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bCs/>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bCs/>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bCs/>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bCs/>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bCs/>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bCs/>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bCs/>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bCs/>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bCs/>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bCs/>
          <w:color w:val="000000" w:themeColor="text1"/>
          <w:sz w:val="28"/>
          <w:szCs w:val="28"/>
          <w14:textFill>
            <w14:solidFill>
              <w14:schemeClr w14:val="tx1"/>
            </w14:solidFill>
          </w14:textFill>
        </w:rPr>
      </w:pPr>
    </w:p>
    <w:p>
      <w:pPr>
        <w:keepNext w:val="0"/>
        <w:keepLines w:val="0"/>
        <w:pageBreakBefore w:val="0"/>
        <w:widowControl w:val="0"/>
        <w:wordWrap/>
        <w:topLinePunct w:val="0"/>
        <w:autoSpaceDE w:val="0"/>
        <w:autoSpaceDN w:val="0"/>
        <w:bidi w:val="0"/>
        <w:adjustRightInd w:val="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s="??_GB2312"/>
          <w:color w:val="000000" w:themeColor="text1"/>
          <w:kern w:val="0"/>
          <w:sz w:val="28"/>
          <w:szCs w:val="28"/>
          <w14:textFill>
            <w14:solidFill>
              <w14:schemeClr w14:val="tx1"/>
            </w14:solidFill>
          </w14:textFill>
        </w:rPr>
      </w:pPr>
    </w:p>
    <w:p>
      <w:pPr>
        <w:keepNext w:val="0"/>
        <w:keepLines w:val="0"/>
        <w:pageBreakBefore w:val="0"/>
        <w:widowControl w:val="0"/>
        <w:wordWrap/>
        <w:topLinePunct w:val="0"/>
        <w:bidi w:val="0"/>
        <w:spacing w:line="360" w:lineRule="auto"/>
        <w:ind w:firstLine="560" w:firstLineChars="20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bidi w:val="0"/>
        <w:spacing w:line="360" w:lineRule="auto"/>
        <w:ind w:firstLine="560" w:firstLineChars="20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bidi w:val="0"/>
        <w:spacing w:line="360" w:lineRule="auto"/>
        <w:ind w:firstLine="560" w:firstLineChars="20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bidi w:val="0"/>
        <w:spacing w:line="360" w:lineRule="auto"/>
        <w:ind w:firstLine="560" w:firstLineChars="20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bidi w:val="0"/>
        <w:spacing w:line="360" w:lineRule="auto"/>
        <w:ind w:firstLine="560" w:firstLineChars="20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wordWrap/>
        <w:topLinePunct w:val="0"/>
        <w:bidi w:val="0"/>
        <w:spacing w:line="360" w:lineRule="auto"/>
        <w:ind w:firstLine="560" w:firstLineChars="200"/>
        <w:jc w:val="center"/>
        <w:textAlignment w:val="auto"/>
        <w:outlineLvl w:val="9"/>
        <w:rPr>
          <w:rFonts w:ascii="仿宋" w:hAnsi="仿宋" w:eastAsia="仿宋"/>
          <w:color w:val="000000" w:themeColor="text1"/>
          <w:sz w:val="28"/>
          <w:szCs w:val="28"/>
          <w14:textFill>
            <w14:solidFill>
              <w14:schemeClr w14:val="tx1"/>
            </w14:solidFill>
          </w14:textFill>
        </w:rPr>
      </w:pPr>
    </w:p>
    <w:p>
      <w:pPr>
        <w:keepNext w:val="0"/>
        <w:keepLines w:val="0"/>
        <w:pageBreakBefore w:val="0"/>
        <w:widowControl w:val="0"/>
        <w:kinsoku w:val="0"/>
        <w:wordWrap/>
        <w:overflowPunct w:val="0"/>
        <w:topLinePunct w:val="0"/>
        <w:autoSpaceDE w:val="0"/>
        <w:autoSpaceDN w:val="0"/>
        <w:bidi w:val="0"/>
        <w:spacing w:before="120" w:beforeLines="50"/>
        <w:jc w:val="center"/>
        <w:textAlignment w:val="auto"/>
        <w:outlineLvl w:val="9"/>
        <w:rPr>
          <w:rFonts w:ascii="仿宋" w:hAnsi="仿宋" w:eastAsia="仿宋"/>
          <w:color w:val="000000" w:themeColor="text1"/>
          <w:sz w:val="28"/>
          <w:szCs w:val="28"/>
          <w14:textFill>
            <w14:solidFill>
              <w14:schemeClr w14:val="tx1"/>
            </w14:solidFill>
          </w14:textFill>
        </w:rPr>
      </w:pPr>
      <w:r>
        <w:rPr>
          <w:rFonts w:ascii="仿宋" w:hAnsi="仿宋" w:eastAsia="仿宋"/>
          <w:color w:val="000000" w:themeColor="text1"/>
          <w:sz w:val="28"/>
          <w:szCs w:val="28"/>
          <w14:textFill>
            <w14:solidFill>
              <w14:schemeClr w14:val="tx1"/>
            </w14:solidFill>
          </w14:textFill>
        </w:rPr>
        <w:br w:type="page"/>
      </w:r>
    </w:p>
    <w:p>
      <w:pPr>
        <w:keepNext w:val="0"/>
        <w:keepLines w:val="0"/>
        <w:pageBreakBefore w:val="0"/>
        <w:widowControl w:val="0"/>
        <w:wordWrap/>
        <w:topLinePunct w:val="0"/>
        <w:bidi w:val="0"/>
        <w:spacing w:before="120" w:beforeLines="50"/>
        <w:jc w:val="center"/>
        <w:textAlignment w:val="auto"/>
        <w:outlineLvl w:val="9"/>
        <w:rPr>
          <w:rFonts w:ascii="黑体" w:hAnsi="黑体" w:eastAsia="黑体"/>
          <w:color w:val="000000" w:themeColor="text1"/>
          <w:sz w:val="28"/>
          <w:szCs w:val="28"/>
          <w14:textFill>
            <w14:solidFill>
              <w14:schemeClr w14:val="tx1"/>
            </w14:solidFill>
          </w14:textFill>
        </w:rPr>
      </w:pPr>
      <w:r>
        <w:rPr>
          <w:rFonts w:hint="eastAsia" w:ascii="黑体" w:hAnsi="黑体" w:eastAsia="黑体" w:cs="??_GB2312"/>
          <w:color w:val="000000" w:themeColor="text1"/>
          <w:kern w:val="0"/>
          <w:sz w:val="28"/>
          <w:szCs w:val="28"/>
          <w14:textFill>
            <w14:solidFill>
              <w14:schemeClr w14:val="tx1"/>
            </w14:solidFill>
          </w14:textFill>
        </w:rPr>
        <w:t>十</w:t>
      </w:r>
      <w:r>
        <w:rPr>
          <w:rFonts w:hint="eastAsia" w:ascii="黑体" w:hAnsi="黑体" w:eastAsia="黑体" w:cs="??_GB2312"/>
          <w:color w:val="000000" w:themeColor="text1"/>
          <w:kern w:val="0"/>
          <w:sz w:val="28"/>
          <w:szCs w:val="28"/>
          <w:lang w:val="en-US" w:eastAsia="zh-CN"/>
          <w14:textFill>
            <w14:solidFill>
              <w14:schemeClr w14:val="tx1"/>
            </w14:solidFill>
          </w14:textFill>
        </w:rPr>
        <w:t>一</w:t>
      </w:r>
      <w:r>
        <w:rPr>
          <w:rFonts w:hint="eastAsia" w:ascii="黑体" w:hAnsi="黑体" w:eastAsia="黑体" w:cs="??_GB2312"/>
          <w:color w:val="000000" w:themeColor="text1"/>
          <w:kern w:val="0"/>
          <w:sz w:val="28"/>
          <w:szCs w:val="28"/>
          <w14:textFill>
            <w14:solidFill>
              <w14:schemeClr w14:val="tx1"/>
            </w14:solidFill>
          </w14:textFill>
        </w:rPr>
        <w:t>、</w:t>
      </w:r>
      <w:r>
        <w:rPr>
          <w:rFonts w:hint="eastAsia" w:ascii="黑体" w:hAnsi="黑体" w:eastAsia="黑体"/>
          <w:color w:val="000000" w:themeColor="text1"/>
          <w:sz w:val="28"/>
          <w:szCs w:val="28"/>
          <w14:textFill>
            <w14:solidFill>
              <w14:schemeClr w14:val="tx1"/>
            </w14:solidFill>
          </w14:textFill>
        </w:rPr>
        <w:t>其他相关证明材料</w:t>
      </w:r>
    </w:p>
    <w:p>
      <w:pPr>
        <w:keepNext w:val="0"/>
        <w:keepLines w:val="0"/>
        <w:pageBreakBefore w:val="0"/>
        <w:widowControl w:val="0"/>
        <w:wordWrap/>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提供符合磋商公告（磋商邀请）、采购需求规定的相关证明文件。</w:t>
      </w:r>
    </w:p>
    <w:p>
      <w:pPr>
        <w:keepNext w:val="0"/>
        <w:keepLines w:val="0"/>
        <w:pageBreakBefore w:val="0"/>
        <w:widowControl w:val="0"/>
        <w:wordWrap/>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1、供应商应按第一章“磋商公告”中“申请人的资格要求”提供下列证明材料，以满足规定的基本资格条件和特定资格条件要求：</w:t>
      </w:r>
      <w:r>
        <w:rPr>
          <w:rFonts w:hint="eastAsia" w:ascii="仿宋" w:hAnsi="仿宋" w:eastAsia="仿宋"/>
          <w:color w:val="000000" w:themeColor="text1"/>
          <w:sz w:val="28"/>
          <w:szCs w:val="28"/>
          <w14:textFill>
            <w14:solidFill>
              <w14:schemeClr w14:val="tx1"/>
            </w14:solidFill>
          </w14:textFill>
        </w:rPr>
        <w:tab/>
      </w:r>
      <w:r>
        <w:rPr>
          <w:rFonts w:hint="eastAsia" w:ascii="仿宋" w:hAnsi="仿宋" w:eastAsia="仿宋"/>
          <w:color w:val="000000" w:themeColor="text1"/>
          <w:sz w:val="28"/>
          <w:szCs w:val="28"/>
          <w14:textFill>
            <w14:solidFill>
              <w14:schemeClr w14:val="tx1"/>
            </w14:solidFill>
          </w14:textFill>
        </w:rPr>
        <w:t xml:space="preserve"> 1.1响应文件中须提供营业执照、组织机构代码证、税务登记证（或三证合一）等主体资格证明文件的扫描件；</w:t>
      </w:r>
    </w:p>
    <w:p>
      <w:pPr>
        <w:keepNext w:val="0"/>
        <w:keepLines w:val="0"/>
        <w:pageBreakBefore w:val="0"/>
        <w:widowControl w:val="0"/>
        <w:wordWrap/>
        <w:topLinePunct w:val="0"/>
        <w:bidi w:val="0"/>
        <w:ind w:firstLine="560" w:firstLineChars="200"/>
        <w:textAlignment w:val="auto"/>
        <w:outlineLvl w:val="9"/>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1.2响应文件中须提供磋商文件规定的其他资格条件证明文件（详见招标公告中申请人的资格要求）的扫描件。</w:t>
      </w:r>
    </w:p>
    <w:p>
      <w:pPr>
        <w:keepNext w:val="0"/>
        <w:keepLines w:val="0"/>
        <w:pageBreakBefore w:val="0"/>
        <w:widowControl w:val="0"/>
        <w:wordWrap/>
        <w:topLinePunct w:val="0"/>
        <w:bidi w:val="0"/>
        <w:ind w:firstLine="700" w:firstLineChars="250"/>
        <w:textAlignment w:val="auto"/>
        <w:outlineLvl w:val="9"/>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2、供应商认为应当提供的相关证明文件扫描件等。</w:t>
      </w:r>
      <w:bookmarkEnd w:id="50"/>
      <w:bookmarkEnd w:id="51"/>
      <w:bookmarkEnd w:id="52"/>
      <w:bookmarkEnd w:id="53"/>
      <w:bookmarkEnd w:id="54"/>
      <w:bookmarkEnd w:id="55"/>
    </w:p>
    <w:sectPr>
      <w:footerReference r:id="rId4" w:type="default"/>
      <w:pgSz w:w="11906" w:h="16838"/>
      <w:pgMar w:top="1440" w:right="1797" w:bottom="1440" w:left="1797"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MS Mincho">
    <w:panose1 w:val="02020609040205080304"/>
    <w:charset w:val="80"/>
    <w:family w:val="modern"/>
    <w:pitch w:val="default"/>
    <w:sig w:usb0="E00002FF" w:usb1="6AC7FDFB" w:usb2="00000012" w:usb3="00000000" w:csb0="4002009F" w:csb1="DFD70000"/>
  </w:font>
  <w:font w:name="宋体 ! important">
    <w:altName w:val="宋体"/>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等线">
    <w:altName w:val="微软雅黑"/>
    <w:panose1 w:val="02010600030101010101"/>
    <w:charset w:val="86"/>
    <w:family w:val="auto"/>
    <w:pitch w:val="default"/>
    <w:sig w:usb0="00000000" w:usb1="00000000" w:usb2="00000016" w:usb3="00000000" w:csb0="0004000F" w:csb1="00000000"/>
  </w:font>
  <w:font w:name="??_GB2312">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00801782"/>
      <w:docPartObj>
        <w:docPartGallery w:val="autotext"/>
      </w:docPartObj>
    </w:sdtPr>
    <w:sdtContent>
      <w:p>
        <w:pPr>
          <w:pStyle w:val="23"/>
          <w:spacing w:before="240"/>
          <w:jc w:val="center"/>
        </w:pPr>
        <w:r>
          <w:fldChar w:fldCharType="begin"/>
        </w:r>
        <w:r>
          <w:instrText xml:space="preserve">PAGE   \* MERGEFORMAT</w:instrText>
        </w:r>
        <w:r>
          <w:fldChar w:fldCharType="separate"/>
        </w:r>
        <w:r>
          <w:t>34</w:t>
        </w:r>
        <w:r>
          <w:fldChar w:fldCharType="end"/>
        </w:r>
      </w:p>
    </w:sdtContent>
  </w:sdt>
  <w:p>
    <w:pPr>
      <w:pStyle w:val="2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jc w:val="center"/>
    </w:pPr>
    <w:r>
      <w:fldChar w:fldCharType="begin"/>
    </w:r>
    <w:r>
      <w:instrText xml:space="preserve">PAGE   \* MERGEFORMAT</w:instrText>
    </w:r>
    <w:r>
      <w:fldChar w:fldCharType="separate"/>
    </w:r>
    <w:r>
      <w:t>69</w:t>
    </w:r>
    <w:r>
      <w:fldChar w:fldCharType="end"/>
    </w:r>
  </w:p>
  <w:p>
    <w:pPr>
      <w:pStyle w:val="2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3Y2I5ZDRmZDA2OTczZWM1YjNmMjBmZDg0NjlmYTYifQ=="/>
  </w:docVars>
  <w:rsids>
    <w:rsidRoot w:val="00CD03BF"/>
    <w:rsid w:val="00002A4C"/>
    <w:rsid w:val="00003157"/>
    <w:rsid w:val="0000362E"/>
    <w:rsid w:val="000045D1"/>
    <w:rsid w:val="0000786E"/>
    <w:rsid w:val="00007EB4"/>
    <w:rsid w:val="00010463"/>
    <w:rsid w:val="0001137C"/>
    <w:rsid w:val="00011C70"/>
    <w:rsid w:val="000131B0"/>
    <w:rsid w:val="000134AF"/>
    <w:rsid w:val="0001557A"/>
    <w:rsid w:val="00015CF1"/>
    <w:rsid w:val="00016394"/>
    <w:rsid w:val="00016A71"/>
    <w:rsid w:val="00016D6F"/>
    <w:rsid w:val="00020F3B"/>
    <w:rsid w:val="0002175F"/>
    <w:rsid w:val="000221F3"/>
    <w:rsid w:val="00022274"/>
    <w:rsid w:val="00022CE2"/>
    <w:rsid w:val="00023A3E"/>
    <w:rsid w:val="00023B24"/>
    <w:rsid w:val="00024193"/>
    <w:rsid w:val="00025B83"/>
    <w:rsid w:val="00025EF3"/>
    <w:rsid w:val="00027462"/>
    <w:rsid w:val="00027E02"/>
    <w:rsid w:val="000305B4"/>
    <w:rsid w:val="00035593"/>
    <w:rsid w:val="000362EC"/>
    <w:rsid w:val="00037982"/>
    <w:rsid w:val="00040B37"/>
    <w:rsid w:val="000416EE"/>
    <w:rsid w:val="0004230F"/>
    <w:rsid w:val="00043840"/>
    <w:rsid w:val="000442A0"/>
    <w:rsid w:val="000450D3"/>
    <w:rsid w:val="00045471"/>
    <w:rsid w:val="00045D92"/>
    <w:rsid w:val="000467F9"/>
    <w:rsid w:val="000476CA"/>
    <w:rsid w:val="0005210C"/>
    <w:rsid w:val="000556F3"/>
    <w:rsid w:val="00056489"/>
    <w:rsid w:val="00057908"/>
    <w:rsid w:val="00061176"/>
    <w:rsid w:val="00063D12"/>
    <w:rsid w:val="0006439C"/>
    <w:rsid w:val="0006652F"/>
    <w:rsid w:val="000673B4"/>
    <w:rsid w:val="000675C4"/>
    <w:rsid w:val="0006796F"/>
    <w:rsid w:val="00067CB6"/>
    <w:rsid w:val="00067CFC"/>
    <w:rsid w:val="00070572"/>
    <w:rsid w:val="00071391"/>
    <w:rsid w:val="000715B6"/>
    <w:rsid w:val="000719AC"/>
    <w:rsid w:val="00071ABD"/>
    <w:rsid w:val="00071ED9"/>
    <w:rsid w:val="0007262E"/>
    <w:rsid w:val="00074274"/>
    <w:rsid w:val="000755BD"/>
    <w:rsid w:val="000767CF"/>
    <w:rsid w:val="00077D03"/>
    <w:rsid w:val="00080BCF"/>
    <w:rsid w:val="00080E51"/>
    <w:rsid w:val="00081229"/>
    <w:rsid w:val="00081A2F"/>
    <w:rsid w:val="000833AC"/>
    <w:rsid w:val="000843F6"/>
    <w:rsid w:val="00085DEF"/>
    <w:rsid w:val="000865F0"/>
    <w:rsid w:val="00090AE4"/>
    <w:rsid w:val="00091799"/>
    <w:rsid w:val="00092E2D"/>
    <w:rsid w:val="00093CE7"/>
    <w:rsid w:val="00093DDE"/>
    <w:rsid w:val="00094E0A"/>
    <w:rsid w:val="00095251"/>
    <w:rsid w:val="000959D6"/>
    <w:rsid w:val="00097D37"/>
    <w:rsid w:val="000A087F"/>
    <w:rsid w:val="000A1255"/>
    <w:rsid w:val="000A1740"/>
    <w:rsid w:val="000A1E77"/>
    <w:rsid w:val="000A327A"/>
    <w:rsid w:val="000A361E"/>
    <w:rsid w:val="000A625D"/>
    <w:rsid w:val="000A628D"/>
    <w:rsid w:val="000A67E6"/>
    <w:rsid w:val="000A748A"/>
    <w:rsid w:val="000A7797"/>
    <w:rsid w:val="000A7B50"/>
    <w:rsid w:val="000B06C6"/>
    <w:rsid w:val="000B18BC"/>
    <w:rsid w:val="000B18F3"/>
    <w:rsid w:val="000B4649"/>
    <w:rsid w:val="000B5A08"/>
    <w:rsid w:val="000B666D"/>
    <w:rsid w:val="000B6A0E"/>
    <w:rsid w:val="000C14C4"/>
    <w:rsid w:val="000C1A55"/>
    <w:rsid w:val="000C22BC"/>
    <w:rsid w:val="000C2CF7"/>
    <w:rsid w:val="000C33F3"/>
    <w:rsid w:val="000C3976"/>
    <w:rsid w:val="000C4593"/>
    <w:rsid w:val="000C63E9"/>
    <w:rsid w:val="000C663A"/>
    <w:rsid w:val="000C7FDE"/>
    <w:rsid w:val="000D0350"/>
    <w:rsid w:val="000D1694"/>
    <w:rsid w:val="000D3331"/>
    <w:rsid w:val="000D3BE5"/>
    <w:rsid w:val="000D795C"/>
    <w:rsid w:val="000D7E47"/>
    <w:rsid w:val="000E0115"/>
    <w:rsid w:val="000E0A1A"/>
    <w:rsid w:val="000E0E7C"/>
    <w:rsid w:val="000E14C1"/>
    <w:rsid w:val="000E182F"/>
    <w:rsid w:val="000E258F"/>
    <w:rsid w:val="000E3776"/>
    <w:rsid w:val="000E3ACA"/>
    <w:rsid w:val="000E417D"/>
    <w:rsid w:val="000F1BD3"/>
    <w:rsid w:val="000F3943"/>
    <w:rsid w:val="000F4266"/>
    <w:rsid w:val="000F4931"/>
    <w:rsid w:val="000F4E2C"/>
    <w:rsid w:val="000F6DB6"/>
    <w:rsid w:val="000F79B2"/>
    <w:rsid w:val="00100E5D"/>
    <w:rsid w:val="00101598"/>
    <w:rsid w:val="00105FD2"/>
    <w:rsid w:val="001070E0"/>
    <w:rsid w:val="00111159"/>
    <w:rsid w:val="0011259F"/>
    <w:rsid w:val="00113804"/>
    <w:rsid w:val="00113DDB"/>
    <w:rsid w:val="001144BE"/>
    <w:rsid w:val="00115937"/>
    <w:rsid w:val="00115E00"/>
    <w:rsid w:val="001165CB"/>
    <w:rsid w:val="001166C5"/>
    <w:rsid w:val="00120D5C"/>
    <w:rsid w:val="00123EE5"/>
    <w:rsid w:val="00124554"/>
    <w:rsid w:val="0012555F"/>
    <w:rsid w:val="001262F6"/>
    <w:rsid w:val="001266CB"/>
    <w:rsid w:val="0012722F"/>
    <w:rsid w:val="00127289"/>
    <w:rsid w:val="00127927"/>
    <w:rsid w:val="00127A93"/>
    <w:rsid w:val="00127FD6"/>
    <w:rsid w:val="00134118"/>
    <w:rsid w:val="001354D8"/>
    <w:rsid w:val="00135F25"/>
    <w:rsid w:val="00136337"/>
    <w:rsid w:val="00136B92"/>
    <w:rsid w:val="00140CE3"/>
    <w:rsid w:val="001461C3"/>
    <w:rsid w:val="001462C7"/>
    <w:rsid w:val="001464D0"/>
    <w:rsid w:val="001467F7"/>
    <w:rsid w:val="00146F76"/>
    <w:rsid w:val="00150D21"/>
    <w:rsid w:val="0015185E"/>
    <w:rsid w:val="00152746"/>
    <w:rsid w:val="00152B09"/>
    <w:rsid w:val="00153AE5"/>
    <w:rsid w:val="00154183"/>
    <w:rsid w:val="001543E7"/>
    <w:rsid w:val="00154BD4"/>
    <w:rsid w:val="00154C20"/>
    <w:rsid w:val="0015528C"/>
    <w:rsid w:val="00156657"/>
    <w:rsid w:val="0015742B"/>
    <w:rsid w:val="00160116"/>
    <w:rsid w:val="001613E2"/>
    <w:rsid w:val="00161CDE"/>
    <w:rsid w:val="00161D10"/>
    <w:rsid w:val="00161EE5"/>
    <w:rsid w:val="0016378F"/>
    <w:rsid w:val="00163A55"/>
    <w:rsid w:val="00165A2D"/>
    <w:rsid w:val="00166367"/>
    <w:rsid w:val="00166CBD"/>
    <w:rsid w:val="00170B68"/>
    <w:rsid w:val="00170EDC"/>
    <w:rsid w:val="001711E4"/>
    <w:rsid w:val="00171E7A"/>
    <w:rsid w:val="001726CE"/>
    <w:rsid w:val="00172969"/>
    <w:rsid w:val="00177D65"/>
    <w:rsid w:val="00180183"/>
    <w:rsid w:val="00180F23"/>
    <w:rsid w:val="001814F0"/>
    <w:rsid w:val="00182264"/>
    <w:rsid w:val="001828E7"/>
    <w:rsid w:val="0018292A"/>
    <w:rsid w:val="001838CB"/>
    <w:rsid w:val="001853A2"/>
    <w:rsid w:val="00185B76"/>
    <w:rsid w:val="00186E52"/>
    <w:rsid w:val="00187311"/>
    <w:rsid w:val="00190916"/>
    <w:rsid w:val="00191BF3"/>
    <w:rsid w:val="001922D9"/>
    <w:rsid w:val="001946C7"/>
    <w:rsid w:val="0019516C"/>
    <w:rsid w:val="00195514"/>
    <w:rsid w:val="0019565D"/>
    <w:rsid w:val="00195944"/>
    <w:rsid w:val="00195DAF"/>
    <w:rsid w:val="00195FEF"/>
    <w:rsid w:val="001A0DB7"/>
    <w:rsid w:val="001A0F4F"/>
    <w:rsid w:val="001A1DCE"/>
    <w:rsid w:val="001A3F43"/>
    <w:rsid w:val="001A50C7"/>
    <w:rsid w:val="001A5FC1"/>
    <w:rsid w:val="001A667D"/>
    <w:rsid w:val="001A677F"/>
    <w:rsid w:val="001A69A9"/>
    <w:rsid w:val="001A6D16"/>
    <w:rsid w:val="001A73A8"/>
    <w:rsid w:val="001A7427"/>
    <w:rsid w:val="001B26B2"/>
    <w:rsid w:val="001B34EE"/>
    <w:rsid w:val="001B3D6C"/>
    <w:rsid w:val="001B6273"/>
    <w:rsid w:val="001B68C7"/>
    <w:rsid w:val="001B7A0C"/>
    <w:rsid w:val="001C0A68"/>
    <w:rsid w:val="001C0C41"/>
    <w:rsid w:val="001C2B4C"/>
    <w:rsid w:val="001C343E"/>
    <w:rsid w:val="001C41E0"/>
    <w:rsid w:val="001C4583"/>
    <w:rsid w:val="001C55CD"/>
    <w:rsid w:val="001C5A1F"/>
    <w:rsid w:val="001C718D"/>
    <w:rsid w:val="001D0CB3"/>
    <w:rsid w:val="001D3415"/>
    <w:rsid w:val="001D380D"/>
    <w:rsid w:val="001D55A5"/>
    <w:rsid w:val="001D7D0C"/>
    <w:rsid w:val="001E0B6F"/>
    <w:rsid w:val="001E1029"/>
    <w:rsid w:val="001E28F9"/>
    <w:rsid w:val="001E479F"/>
    <w:rsid w:val="001E5964"/>
    <w:rsid w:val="001E5DDA"/>
    <w:rsid w:val="001E7520"/>
    <w:rsid w:val="001F01E5"/>
    <w:rsid w:val="001F0EFD"/>
    <w:rsid w:val="001F20EE"/>
    <w:rsid w:val="001F2F50"/>
    <w:rsid w:val="001F3BEA"/>
    <w:rsid w:val="001F5131"/>
    <w:rsid w:val="001F5C33"/>
    <w:rsid w:val="001F6394"/>
    <w:rsid w:val="001F6C1B"/>
    <w:rsid w:val="001F776D"/>
    <w:rsid w:val="00200FF9"/>
    <w:rsid w:val="0020173A"/>
    <w:rsid w:val="00201BE5"/>
    <w:rsid w:val="00202A99"/>
    <w:rsid w:val="0020369D"/>
    <w:rsid w:val="00204A54"/>
    <w:rsid w:val="00205F74"/>
    <w:rsid w:val="002062BE"/>
    <w:rsid w:val="00206E48"/>
    <w:rsid w:val="00211423"/>
    <w:rsid w:val="00211498"/>
    <w:rsid w:val="00212DE0"/>
    <w:rsid w:val="002130F1"/>
    <w:rsid w:val="00213AE4"/>
    <w:rsid w:val="00216DF2"/>
    <w:rsid w:val="00216F98"/>
    <w:rsid w:val="002175A2"/>
    <w:rsid w:val="002177E4"/>
    <w:rsid w:val="00223E8B"/>
    <w:rsid w:val="00225614"/>
    <w:rsid w:val="00226D31"/>
    <w:rsid w:val="00226E7D"/>
    <w:rsid w:val="00231944"/>
    <w:rsid w:val="002367B9"/>
    <w:rsid w:val="002378FD"/>
    <w:rsid w:val="00240ABB"/>
    <w:rsid w:val="00241007"/>
    <w:rsid w:val="00243030"/>
    <w:rsid w:val="00246D95"/>
    <w:rsid w:val="0024771D"/>
    <w:rsid w:val="00247830"/>
    <w:rsid w:val="00250868"/>
    <w:rsid w:val="00250A9F"/>
    <w:rsid w:val="00252971"/>
    <w:rsid w:val="00253DB3"/>
    <w:rsid w:val="0025734A"/>
    <w:rsid w:val="00257C22"/>
    <w:rsid w:val="00260563"/>
    <w:rsid w:val="00261E11"/>
    <w:rsid w:val="002622A5"/>
    <w:rsid w:val="00263B61"/>
    <w:rsid w:val="00263FB6"/>
    <w:rsid w:val="00264D4C"/>
    <w:rsid w:val="002651E9"/>
    <w:rsid w:val="00265E9E"/>
    <w:rsid w:val="0026770A"/>
    <w:rsid w:val="002710C9"/>
    <w:rsid w:val="0027240D"/>
    <w:rsid w:val="00273D3F"/>
    <w:rsid w:val="002744C2"/>
    <w:rsid w:val="00274AD6"/>
    <w:rsid w:val="0027588F"/>
    <w:rsid w:val="00275CEE"/>
    <w:rsid w:val="00276B62"/>
    <w:rsid w:val="00276B9A"/>
    <w:rsid w:val="00277B5B"/>
    <w:rsid w:val="00280D90"/>
    <w:rsid w:val="00281A6A"/>
    <w:rsid w:val="00282DBC"/>
    <w:rsid w:val="00283F78"/>
    <w:rsid w:val="002846B4"/>
    <w:rsid w:val="00284FB7"/>
    <w:rsid w:val="00285EBE"/>
    <w:rsid w:val="00286306"/>
    <w:rsid w:val="00287492"/>
    <w:rsid w:val="002906EB"/>
    <w:rsid w:val="00290728"/>
    <w:rsid w:val="00291091"/>
    <w:rsid w:val="0029187C"/>
    <w:rsid w:val="00292D5F"/>
    <w:rsid w:val="002933EE"/>
    <w:rsid w:val="00294D46"/>
    <w:rsid w:val="0029605B"/>
    <w:rsid w:val="00296643"/>
    <w:rsid w:val="00296B71"/>
    <w:rsid w:val="002A1E94"/>
    <w:rsid w:val="002A2162"/>
    <w:rsid w:val="002A5928"/>
    <w:rsid w:val="002A6A2A"/>
    <w:rsid w:val="002A7CE3"/>
    <w:rsid w:val="002B22CC"/>
    <w:rsid w:val="002B2A00"/>
    <w:rsid w:val="002B32DC"/>
    <w:rsid w:val="002C07AB"/>
    <w:rsid w:val="002C0D80"/>
    <w:rsid w:val="002C1BCF"/>
    <w:rsid w:val="002C24FA"/>
    <w:rsid w:val="002C2746"/>
    <w:rsid w:val="002C3328"/>
    <w:rsid w:val="002C3562"/>
    <w:rsid w:val="002C36CE"/>
    <w:rsid w:val="002C38C8"/>
    <w:rsid w:val="002C3E1E"/>
    <w:rsid w:val="002C4278"/>
    <w:rsid w:val="002C4CEE"/>
    <w:rsid w:val="002C63CF"/>
    <w:rsid w:val="002C6530"/>
    <w:rsid w:val="002C6DA9"/>
    <w:rsid w:val="002C6E3B"/>
    <w:rsid w:val="002D00F6"/>
    <w:rsid w:val="002D063B"/>
    <w:rsid w:val="002D0A01"/>
    <w:rsid w:val="002D2FAF"/>
    <w:rsid w:val="002D391F"/>
    <w:rsid w:val="002D5C21"/>
    <w:rsid w:val="002D63F1"/>
    <w:rsid w:val="002D74AA"/>
    <w:rsid w:val="002D79B8"/>
    <w:rsid w:val="002E160E"/>
    <w:rsid w:val="002E1A42"/>
    <w:rsid w:val="002E2967"/>
    <w:rsid w:val="002E3076"/>
    <w:rsid w:val="002E363F"/>
    <w:rsid w:val="002E426D"/>
    <w:rsid w:val="002E48FC"/>
    <w:rsid w:val="002E5287"/>
    <w:rsid w:val="002E5611"/>
    <w:rsid w:val="002E5AE0"/>
    <w:rsid w:val="002E6CCD"/>
    <w:rsid w:val="002E7490"/>
    <w:rsid w:val="002E793E"/>
    <w:rsid w:val="002F0DD2"/>
    <w:rsid w:val="002F12E8"/>
    <w:rsid w:val="002F186E"/>
    <w:rsid w:val="002F1B8E"/>
    <w:rsid w:val="002F3F08"/>
    <w:rsid w:val="002F537C"/>
    <w:rsid w:val="002F5E68"/>
    <w:rsid w:val="002F6940"/>
    <w:rsid w:val="00300D59"/>
    <w:rsid w:val="00301186"/>
    <w:rsid w:val="003020C3"/>
    <w:rsid w:val="0030759A"/>
    <w:rsid w:val="00310532"/>
    <w:rsid w:val="00310A61"/>
    <w:rsid w:val="003122A0"/>
    <w:rsid w:val="00313C48"/>
    <w:rsid w:val="00314CB5"/>
    <w:rsid w:val="003152F7"/>
    <w:rsid w:val="00315FBA"/>
    <w:rsid w:val="00316CE8"/>
    <w:rsid w:val="00316DFD"/>
    <w:rsid w:val="00317A0C"/>
    <w:rsid w:val="0032102A"/>
    <w:rsid w:val="00322307"/>
    <w:rsid w:val="00322AB3"/>
    <w:rsid w:val="00322B01"/>
    <w:rsid w:val="00322CC2"/>
    <w:rsid w:val="0032340F"/>
    <w:rsid w:val="00323D17"/>
    <w:rsid w:val="003242E7"/>
    <w:rsid w:val="00326275"/>
    <w:rsid w:val="00326EBA"/>
    <w:rsid w:val="003349F4"/>
    <w:rsid w:val="00337E2E"/>
    <w:rsid w:val="00340270"/>
    <w:rsid w:val="00340313"/>
    <w:rsid w:val="003408D7"/>
    <w:rsid w:val="00340995"/>
    <w:rsid w:val="00343223"/>
    <w:rsid w:val="00345C8C"/>
    <w:rsid w:val="00345DCB"/>
    <w:rsid w:val="00347C54"/>
    <w:rsid w:val="00350046"/>
    <w:rsid w:val="00351BC1"/>
    <w:rsid w:val="00353E81"/>
    <w:rsid w:val="003545C7"/>
    <w:rsid w:val="00354EFD"/>
    <w:rsid w:val="003550D9"/>
    <w:rsid w:val="003553ED"/>
    <w:rsid w:val="00361BD4"/>
    <w:rsid w:val="00362B03"/>
    <w:rsid w:val="003649F2"/>
    <w:rsid w:val="003665E1"/>
    <w:rsid w:val="00366FCC"/>
    <w:rsid w:val="00367144"/>
    <w:rsid w:val="00367C8D"/>
    <w:rsid w:val="00370256"/>
    <w:rsid w:val="00371621"/>
    <w:rsid w:val="00371EFD"/>
    <w:rsid w:val="00372B1C"/>
    <w:rsid w:val="003749D4"/>
    <w:rsid w:val="00374EA1"/>
    <w:rsid w:val="003752B5"/>
    <w:rsid w:val="003760EA"/>
    <w:rsid w:val="003800D8"/>
    <w:rsid w:val="003802DD"/>
    <w:rsid w:val="003802F8"/>
    <w:rsid w:val="003814A9"/>
    <w:rsid w:val="00382E4F"/>
    <w:rsid w:val="0038329C"/>
    <w:rsid w:val="00385D13"/>
    <w:rsid w:val="00386B99"/>
    <w:rsid w:val="00386FD8"/>
    <w:rsid w:val="00387F18"/>
    <w:rsid w:val="0039035A"/>
    <w:rsid w:val="00390596"/>
    <w:rsid w:val="003916FF"/>
    <w:rsid w:val="00392758"/>
    <w:rsid w:val="00392B58"/>
    <w:rsid w:val="00394AD7"/>
    <w:rsid w:val="003950F1"/>
    <w:rsid w:val="00395BB1"/>
    <w:rsid w:val="00395C1A"/>
    <w:rsid w:val="00395E6C"/>
    <w:rsid w:val="00397CC0"/>
    <w:rsid w:val="003A0A2D"/>
    <w:rsid w:val="003A34C6"/>
    <w:rsid w:val="003A501E"/>
    <w:rsid w:val="003A5364"/>
    <w:rsid w:val="003A5E92"/>
    <w:rsid w:val="003A612C"/>
    <w:rsid w:val="003A7F44"/>
    <w:rsid w:val="003B05A2"/>
    <w:rsid w:val="003B1652"/>
    <w:rsid w:val="003B1C2C"/>
    <w:rsid w:val="003B291B"/>
    <w:rsid w:val="003B3D7F"/>
    <w:rsid w:val="003B45B9"/>
    <w:rsid w:val="003B616C"/>
    <w:rsid w:val="003B626D"/>
    <w:rsid w:val="003B6403"/>
    <w:rsid w:val="003B6865"/>
    <w:rsid w:val="003B6ACF"/>
    <w:rsid w:val="003B754F"/>
    <w:rsid w:val="003C0DE9"/>
    <w:rsid w:val="003C18CA"/>
    <w:rsid w:val="003C19B1"/>
    <w:rsid w:val="003C2B02"/>
    <w:rsid w:val="003C2BF7"/>
    <w:rsid w:val="003C3606"/>
    <w:rsid w:val="003C37A8"/>
    <w:rsid w:val="003C6F2C"/>
    <w:rsid w:val="003D0C8E"/>
    <w:rsid w:val="003D15CC"/>
    <w:rsid w:val="003D1CB5"/>
    <w:rsid w:val="003D201E"/>
    <w:rsid w:val="003D376D"/>
    <w:rsid w:val="003D46AD"/>
    <w:rsid w:val="003D4DBA"/>
    <w:rsid w:val="003D5CE3"/>
    <w:rsid w:val="003D5F4C"/>
    <w:rsid w:val="003E032F"/>
    <w:rsid w:val="003E0746"/>
    <w:rsid w:val="003E1962"/>
    <w:rsid w:val="003E3C40"/>
    <w:rsid w:val="003E53C0"/>
    <w:rsid w:val="003E6FB1"/>
    <w:rsid w:val="003F231E"/>
    <w:rsid w:val="003F2D26"/>
    <w:rsid w:val="003F4767"/>
    <w:rsid w:val="003F58F0"/>
    <w:rsid w:val="003F60FF"/>
    <w:rsid w:val="003F63D9"/>
    <w:rsid w:val="003F6ECC"/>
    <w:rsid w:val="004014F9"/>
    <w:rsid w:val="00401C79"/>
    <w:rsid w:val="0040288C"/>
    <w:rsid w:val="004036F8"/>
    <w:rsid w:val="00404AFD"/>
    <w:rsid w:val="0040514C"/>
    <w:rsid w:val="00406701"/>
    <w:rsid w:val="0041142F"/>
    <w:rsid w:val="004130DC"/>
    <w:rsid w:val="00413DFB"/>
    <w:rsid w:val="004143DE"/>
    <w:rsid w:val="004153F4"/>
    <w:rsid w:val="004158ED"/>
    <w:rsid w:val="00416908"/>
    <w:rsid w:val="004176B4"/>
    <w:rsid w:val="00417D75"/>
    <w:rsid w:val="00420BA8"/>
    <w:rsid w:val="00422560"/>
    <w:rsid w:val="00423141"/>
    <w:rsid w:val="00423A10"/>
    <w:rsid w:val="004258F8"/>
    <w:rsid w:val="00425F47"/>
    <w:rsid w:val="00426AB2"/>
    <w:rsid w:val="00427EDE"/>
    <w:rsid w:val="00430175"/>
    <w:rsid w:val="00431212"/>
    <w:rsid w:val="0043297E"/>
    <w:rsid w:val="004346BA"/>
    <w:rsid w:val="004375BA"/>
    <w:rsid w:val="00440E6C"/>
    <w:rsid w:val="00441BF5"/>
    <w:rsid w:val="00442844"/>
    <w:rsid w:val="00442898"/>
    <w:rsid w:val="00442F8C"/>
    <w:rsid w:val="00443D43"/>
    <w:rsid w:val="004444ED"/>
    <w:rsid w:val="004446C2"/>
    <w:rsid w:val="00444859"/>
    <w:rsid w:val="00444A9D"/>
    <w:rsid w:val="00444C4C"/>
    <w:rsid w:val="004454CC"/>
    <w:rsid w:val="00445591"/>
    <w:rsid w:val="00445EE5"/>
    <w:rsid w:val="004472CF"/>
    <w:rsid w:val="00447E45"/>
    <w:rsid w:val="00451A4D"/>
    <w:rsid w:val="00451D32"/>
    <w:rsid w:val="00452329"/>
    <w:rsid w:val="00452FB5"/>
    <w:rsid w:val="00453098"/>
    <w:rsid w:val="004540CB"/>
    <w:rsid w:val="00456B96"/>
    <w:rsid w:val="00456EF2"/>
    <w:rsid w:val="00462302"/>
    <w:rsid w:val="00463B7F"/>
    <w:rsid w:val="00464FF1"/>
    <w:rsid w:val="004665FD"/>
    <w:rsid w:val="00472157"/>
    <w:rsid w:val="004726A4"/>
    <w:rsid w:val="00473D11"/>
    <w:rsid w:val="004743CE"/>
    <w:rsid w:val="004744F5"/>
    <w:rsid w:val="00475ABA"/>
    <w:rsid w:val="00476325"/>
    <w:rsid w:val="0047652B"/>
    <w:rsid w:val="00476D46"/>
    <w:rsid w:val="00477083"/>
    <w:rsid w:val="00481EF7"/>
    <w:rsid w:val="00482614"/>
    <w:rsid w:val="00482BD4"/>
    <w:rsid w:val="00482EA4"/>
    <w:rsid w:val="00483414"/>
    <w:rsid w:val="00484016"/>
    <w:rsid w:val="00484BCF"/>
    <w:rsid w:val="00484FB8"/>
    <w:rsid w:val="00485F0C"/>
    <w:rsid w:val="00490085"/>
    <w:rsid w:val="00490556"/>
    <w:rsid w:val="00491CD0"/>
    <w:rsid w:val="00491EB6"/>
    <w:rsid w:val="00492D32"/>
    <w:rsid w:val="00493A99"/>
    <w:rsid w:val="0049562E"/>
    <w:rsid w:val="00497E1B"/>
    <w:rsid w:val="004A0B94"/>
    <w:rsid w:val="004A184F"/>
    <w:rsid w:val="004A199C"/>
    <w:rsid w:val="004A29BF"/>
    <w:rsid w:val="004A415C"/>
    <w:rsid w:val="004A4AC0"/>
    <w:rsid w:val="004A4E31"/>
    <w:rsid w:val="004A5053"/>
    <w:rsid w:val="004A6412"/>
    <w:rsid w:val="004A7335"/>
    <w:rsid w:val="004A74D2"/>
    <w:rsid w:val="004A7ACB"/>
    <w:rsid w:val="004B3033"/>
    <w:rsid w:val="004B3FE3"/>
    <w:rsid w:val="004B4BC0"/>
    <w:rsid w:val="004B4FEE"/>
    <w:rsid w:val="004B5CE0"/>
    <w:rsid w:val="004B7392"/>
    <w:rsid w:val="004C0087"/>
    <w:rsid w:val="004C087B"/>
    <w:rsid w:val="004C0F0A"/>
    <w:rsid w:val="004C0F1B"/>
    <w:rsid w:val="004C3A7F"/>
    <w:rsid w:val="004C419A"/>
    <w:rsid w:val="004C4D09"/>
    <w:rsid w:val="004C4DD8"/>
    <w:rsid w:val="004C4E91"/>
    <w:rsid w:val="004C5C6B"/>
    <w:rsid w:val="004C5C71"/>
    <w:rsid w:val="004C5CAD"/>
    <w:rsid w:val="004D1C99"/>
    <w:rsid w:val="004D1DB9"/>
    <w:rsid w:val="004D3D91"/>
    <w:rsid w:val="004D62B1"/>
    <w:rsid w:val="004D6667"/>
    <w:rsid w:val="004D74F7"/>
    <w:rsid w:val="004E0305"/>
    <w:rsid w:val="004E0AC0"/>
    <w:rsid w:val="004E158C"/>
    <w:rsid w:val="004E2C69"/>
    <w:rsid w:val="004E494A"/>
    <w:rsid w:val="004E5951"/>
    <w:rsid w:val="004E5EDB"/>
    <w:rsid w:val="004E7273"/>
    <w:rsid w:val="004F05A8"/>
    <w:rsid w:val="004F1BE8"/>
    <w:rsid w:val="004F206E"/>
    <w:rsid w:val="004F4085"/>
    <w:rsid w:val="004F42C5"/>
    <w:rsid w:val="004F43CB"/>
    <w:rsid w:val="004F4694"/>
    <w:rsid w:val="004F68C8"/>
    <w:rsid w:val="00501C2F"/>
    <w:rsid w:val="00502525"/>
    <w:rsid w:val="0050388A"/>
    <w:rsid w:val="00504A3C"/>
    <w:rsid w:val="005056FB"/>
    <w:rsid w:val="00505CF5"/>
    <w:rsid w:val="0050611D"/>
    <w:rsid w:val="00506F15"/>
    <w:rsid w:val="00510B37"/>
    <w:rsid w:val="0051157D"/>
    <w:rsid w:val="005118BE"/>
    <w:rsid w:val="00516613"/>
    <w:rsid w:val="005169D3"/>
    <w:rsid w:val="005170BA"/>
    <w:rsid w:val="00522762"/>
    <w:rsid w:val="005233A1"/>
    <w:rsid w:val="00523B66"/>
    <w:rsid w:val="00523EBE"/>
    <w:rsid w:val="00524FB7"/>
    <w:rsid w:val="005270EA"/>
    <w:rsid w:val="005272B4"/>
    <w:rsid w:val="00530C25"/>
    <w:rsid w:val="00530E83"/>
    <w:rsid w:val="0053188D"/>
    <w:rsid w:val="00532862"/>
    <w:rsid w:val="00533CEF"/>
    <w:rsid w:val="00533FFC"/>
    <w:rsid w:val="00536048"/>
    <w:rsid w:val="00536D94"/>
    <w:rsid w:val="005371DA"/>
    <w:rsid w:val="005373AC"/>
    <w:rsid w:val="00537B96"/>
    <w:rsid w:val="00537E3C"/>
    <w:rsid w:val="00541EC4"/>
    <w:rsid w:val="00542E00"/>
    <w:rsid w:val="00543FDA"/>
    <w:rsid w:val="0054588F"/>
    <w:rsid w:val="00545D57"/>
    <w:rsid w:val="00547300"/>
    <w:rsid w:val="00550BAD"/>
    <w:rsid w:val="0055581C"/>
    <w:rsid w:val="00555E41"/>
    <w:rsid w:val="00555FC1"/>
    <w:rsid w:val="0055773E"/>
    <w:rsid w:val="00560855"/>
    <w:rsid w:val="005631B2"/>
    <w:rsid w:val="00563998"/>
    <w:rsid w:val="00563F46"/>
    <w:rsid w:val="00566EBA"/>
    <w:rsid w:val="00570655"/>
    <w:rsid w:val="00570D09"/>
    <w:rsid w:val="00571BCE"/>
    <w:rsid w:val="005734CB"/>
    <w:rsid w:val="005741A6"/>
    <w:rsid w:val="0057424B"/>
    <w:rsid w:val="0057512C"/>
    <w:rsid w:val="0057625A"/>
    <w:rsid w:val="0057735F"/>
    <w:rsid w:val="00580D4C"/>
    <w:rsid w:val="005819D8"/>
    <w:rsid w:val="00587169"/>
    <w:rsid w:val="005906C0"/>
    <w:rsid w:val="005910A0"/>
    <w:rsid w:val="0059362E"/>
    <w:rsid w:val="00593A09"/>
    <w:rsid w:val="00594F4A"/>
    <w:rsid w:val="005967A5"/>
    <w:rsid w:val="00596DD4"/>
    <w:rsid w:val="005A1C83"/>
    <w:rsid w:val="005A265F"/>
    <w:rsid w:val="005A4170"/>
    <w:rsid w:val="005A452A"/>
    <w:rsid w:val="005A5016"/>
    <w:rsid w:val="005A55C2"/>
    <w:rsid w:val="005A701E"/>
    <w:rsid w:val="005A7BC1"/>
    <w:rsid w:val="005B0F0E"/>
    <w:rsid w:val="005B337A"/>
    <w:rsid w:val="005B3641"/>
    <w:rsid w:val="005B394F"/>
    <w:rsid w:val="005B4D51"/>
    <w:rsid w:val="005B6418"/>
    <w:rsid w:val="005B6BC1"/>
    <w:rsid w:val="005B7595"/>
    <w:rsid w:val="005C05B6"/>
    <w:rsid w:val="005C088E"/>
    <w:rsid w:val="005C12CD"/>
    <w:rsid w:val="005C23CC"/>
    <w:rsid w:val="005C3064"/>
    <w:rsid w:val="005C3684"/>
    <w:rsid w:val="005C3B45"/>
    <w:rsid w:val="005C3C52"/>
    <w:rsid w:val="005C450E"/>
    <w:rsid w:val="005C4605"/>
    <w:rsid w:val="005C566A"/>
    <w:rsid w:val="005C6456"/>
    <w:rsid w:val="005C7925"/>
    <w:rsid w:val="005D35C1"/>
    <w:rsid w:val="005D495C"/>
    <w:rsid w:val="005D4E8E"/>
    <w:rsid w:val="005D5720"/>
    <w:rsid w:val="005D5B1F"/>
    <w:rsid w:val="005D727F"/>
    <w:rsid w:val="005D79DE"/>
    <w:rsid w:val="005D7A32"/>
    <w:rsid w:val="005D7BAE"/>
    <w:rsid w:val="005D7F87"/>
    <w:rsid w:val="005E01B2"/>
    <w:rsid w:val="005E05B9"/>
    <w:rsid w:val="005E1C87"/>
    <w:rsid w:val="005E38A8"/>
    <w:rsid w:val="005E5057"/>
    <w:rsid w:val="005E5B91"/>
    <w:rsid w:val="005E646F"/>
    <w:rsid w:val="005E7E4E"/>
    <w:rsid w:val="005F0764"/>
    <w:rsid w:val="005F229B"/>
    <w:rsid w:val="005F3137"/>
    <w:rsid w:val="005F316E"/>
    <w:rsid w:val="005F455E"/>
    <w:rsid w:val="005F46DA"/>
    <w:rsid w:val="005F4F5D"/>
    <w:rsid w:val="005F5038"/>
    <w:rsid w:val="005F73A9"/>
    <w:rsid w:val="00600A83"/>
    <w:rsid w:val="00601F83"/>
    <w:rsid w:val="00602F65"/>
    <w:rsid w:val="006076CA"/>
    <w:rsid w:val="00610B6F"/>
    <w:rsid w:val="00611092"/>
    <w:rsid w:val="006115D7"/>
    <w:rsid w:val="00611EE2"/>
    <w:rsid w:val="0061355A"/>
    <w:rsid w:val="00613E94"/>
    <w:rsid w:val="00614E5E"/>
    <w:rsid w:val="00615816"/>
    <w:rsid w:val="006162EF"/>
    <w:rsid w:val="00616535"/>
    <w:rsid w:val="00620061"/>
    <w:rsid w:val="00620401"/>
    <w:rsid w:val="006214B1"/>
    <w:rsid w:val="00621769"/>
    <w:rsid w:val="00622C9C"/>
    <w:rsid w:val="00623517"/>
    <w:rsid w:val="0062363B"/>
    <w:rsid w:val="00623720"/>
    <w:rsid w:val="00624420"/>
    <w:rsid w:val="006250F2"/>
    <w:rsid w:val="0062636D"/>
    <w:rsid w:val="00626CAF"/>
    <w:rsid w:val="00626F2F"/>
    <w:rsid w:val="006300EB"/>
    <w:rsid w:val="0063098E"/>
    <w:rsid w:val="00631089"/>
    <w:rsid w:val="00631768"/>
    <w:rsid w:val="00632801"/>
    <w:rsid w:val="006332E7"/>
    <w:rsid w:val="00633B8A"/>
    <w:rsid w:val="00633F68"/>
    <w:rsid w:val="00634C73"/>
    <w:rsid w:val="00634E77"/>
    <w:rsid w:val="0063795F"/>
    <w:rsid w:val="00637988"/>
    <w:rsid w:val="00641899"/>
    <w:rsid w:val="0064415A"/>
    <w:rsid w:val="006445C7"/>
    <w:rsid w:val="00644862"/>
    <w:rsid w:val="006452FF"/>
    <w:rsid w:val="006459F3"/>
    <w:rsid w:val="00646D0C"/>
    <w:rsid w:val="00650A4F"/>
    <w:rsid w:val="00650AF1"/>
    <w:rsid w:val="00651C90"/>
    <w:rsid w:val="00651DF7"/>
    <w:rsid w:val="00651EBE"/>
    <w:rsid w:val="006566FF"/>
    <w:rsid w:val="0066090A"/>
    <w:rsid w:val="00661C90"/>
    <w:rsid w:val="0066231B"/>
    <w:rsid w:val="00663C57"/>
    <w:rsid w:val="00663E63"/>
    <w:rsid w:val="0066463A"/>
    <w:rsid w:val="00664B6A"/>
    <w:rsid w:val="00665912"/>
    <w:rsid w:val="00666A00"/>
    <w:rsid w:val="00666B65"/>
    <w:rsid w:val="00667ED4"/>
    <w:rsid w:val="00671B8A"/>
    <w:rsid w:val="00674A13"/>
    <w:rsid w:val="0067733C"/>
    <w:rsid w:val="0068100A"/>
    <w:rsid w:val="00681CBC"/>
    <w:rsid w:val="00683440"/>
    <w:rsid w:val="00683453"/>
    <w:rsid w:val="00683CC8"/>
    <w:rsid w:val="00683E40"/>
    <w:rsid w:val="0068402B"/>
    <w:rsid w:val="00684FFF"/>
    <w:rsid w:val="006912A4"/>
    <w:rsid w:val="006918D5"/>
    <w:rsid w:val="00692CD0"/>
    <w:rsid w:val="006935EE"/>
    <w:rsid w:val="00695521"/>
    <w:rsid w:val="00695747"/>
    <w:rsid w:val="00695753"/>
    <w:rsid w:val="00695D90"/>
    <w:rsid w:val="00695EA2"/>
    <w:rsid w:val="00696B63"/>
    <w:rsid w:val="00696D50"/>
    <w:rsid w:val="00697322"/>
    <w:rsid w:val="006A11D5"/>
    <w:rsid w:val="006A1896"/>
    <w:rsid w:val="006A488B"/>
    <w:rsid w:val="006A4F05"/>
    <w:rsid w:val="006A6F96"/>
    <w:rsid w:val="006B0BAE"/>
    <w:rsid w:val="006B2A4F"/>
    <w:rsid w:val="006B4270"/>
    <w:rsid w:val="006B5399"/>
    <w:rsid w:val="006B7864"/>
    <w:rsid w:val="006C072D"/>
    <w:rsid w:val="006C3940"/>
    <w:rsid w:val="006C3E7E"/>
    <w:rsid w:val="006C5ACC"/>
    <w:rsid w:val="006C6415"/>
    <w:rsid w:val="006C698D"/>
    <w:rsid w:val="006C7B02"/>
    <w:rsid w:val="006D11C1"/>
    <w:rsid w:val="006D1BD5"/>
    <w:rsid w:val="006D3B95"/>
    <w:rsid w:val="006D6440"/>
    <w:rsid w:val="006E08A2"/>
    <w:rsid w:val="006E0C1C"/>
    <w:rsid w:val="006E2028"/>
    <w:rsid w:val="006E3560"/>
    <w:rsid w:val="006E5CC8"/>
    <w:rsid w:val="006E5D28"/>
    <w:rsid w:val="006E6095"/>
    <w:rsid w:val="006E70E7"/>
    <w:rsid w:val="006E7631"/>
    <w:rsid w:val="006F105E"/>
    <w:rsid w:val="006F286F"/>
    <w:rsid w:val="006F3F39"/>
    <w:rsid w:val="006F6D51"/>
    <w:rsid w:val="006F7588"/>
    <w:rsid w:val="006F77C7"/>
    <w:rsid w:val="00700B22"/>
    <w:rsid w:val="00700FB9"/>
    <w:rsid w:val="0070342F"/>
    <w:rsid w:val="0070398B"/>
    <w:rsid w:val="00703B77"/>
    <w:rsid w:val="0070552D"/>
    <w:rsid w:val="00705BE4"/>
    <w:rsid w:val="00707ED1"/>
    <w:rsid w:val="007117DB"/>
    <w:rsid w:val="0071477D"/>
    <w:rsid w:val="00714C5B"/>
    <w:rsid w:val="00720724"/>
    <w:rsid w:val="00721373"/>
    <w:rsid w:val="007216DD"/>
    <w:rsid w:val="00721B05"/>
    <w:rsid w:val="007224A1"/>
    <w:rsid w:val="007234CF"/>
    <w:rsid w:val="00723E2E"/>
    <w:rsid w:val="00724137"/>
    <w:rsid w:val="0072447F"/>
    <w:rsid w:val="0072488F"/>
    <w:rsid w:val="00725C97"/>
    <w:rsid w:val="00730099"/>
    <w:rsid w:val="00730411"/>
    <w:rsid w:val="00730AB5"/>
    <w:rsid w:val="00730C69"/>
    <w:rsid w:val="0073111E"/>
    <w:rsid w:val="007313CD"/>
    <w:rsid w:val="007329FD"/>
    <w:rsid w:val="007341E9"/>
    <w:rsid w:val="0073437B"/>
    <w:rsid w:val="007353CA"/>
    <w:rsid w:val="0073652C"/>
    <w:rsid w:val="00736CDC"/>
    <w:rsid w:val="00736E6E"/>
    <w:rsid w:val="00737AE8"/>
    <w:rsid w:val="00740751"/>
    <w:rsid w:val="0074087B"/>
    <w:rsid w:val="007410CA"/>
    <w:rsid w:val="00741E75"/>
    <w:rsid w:val="007432DB"/>
    <w:rsid w:val="00743E99"/>
    <w:rsid w:val="0074579C"/>
    <w:rsid w:val="007459EC"/>
    <w:rsid w:val="00747F9E"/>
    <w:rsid w:val="007507A6"/>
    <w:rsid w:val="00750A3F"/>
    <w:rsid w:val="0075275C"/>
    <w:rsid w:val="00753264"/>
    <w:rsid w:val="00753D73"/>
    <w:rsid w:val="00754240"/>
    <w:rsid w:val="00755DF3"/>
    <w:rsid w:val="007572AD"/>
    <w:rsid w:val="00760FFC"/>
    <w:rsid w:val="00761715"/>
    <w:rsid w:val="00761999"/>
    <w:rsid w:val="007634D4"/>
    <w:rsid w:val="007649F0"/>
    <w:rsid w:val="00765A3F"/>
    <w:rsid w:val="00766A79"/>
    <w:rsid w:val="0077039A"/>
    <w:rsid w:val="00771EBC"/>
    <w:rsid w:val="00775622"/>
    <w:rsid w:val="0077575E"/>
    <w:rsid w:val="00775A96"/>
    <w:rsid w:val="00775F97"/>
    <w:rsid w:val="00777B86"/>
    <w:rsid w:val="0078151C"/>
    <w:rsid w:val="00782048"/>
    <w:rsid w:val="00782934"/>
    <w:rsid w:val="00782BBA"/>
    <w:rsid w:val="00783722"/>
    <w:rsid w:val="007847C5"/>
    <w:rsid w:val="007852BA"/>
    <w:rsid w:val="00785B7F"/>
    <w:rsid w:val="007868CB"/>
    <w:rsid w:val="00786CFB"/>
    <w:rsid w:val="00787051"/>
    <w:rsid w:val="007904F6"/>
    <w:rsid w:val="007908D6"/>
    <w:rsid w:val="00791CF0"/>
    <w:rsid w:val="007946AD"/>
    <w:rsid w:val="00794FED"/>
    <w:rsid w:val="00796BA2"/>
    <w:rsid w:val="00796E37"/>
    <w:rsid w:val="00797A27"/>
    <w:rsid w:val="007A410D"/>
    <w:rsid w:val="007A426C"/>
    <w:rsid w:val="007A6039"/>
    <w:rsid w:val="007B0F45"/>
    <w:rsid w:val="007B527C"/>
    <w:rsid w:val="007B6136"/>
    <w:rsid w:val="007B6553"/>
    <w:rsid w:val="007B75B8"/>
    <w:rsid w:val="007B77D5"/>
    <w:rsid w:val="007B7806"/>
    <w:rsid w:val="007C0907"/>
    <w:rsid w:val="007C0ABF"/>
    <w:rsid w:val="007C2D68"/>
    <w:rsid w:val="007C37B6"/>
    <w:rsid w:val="007C55CD"/>
    <w:rsid w:val="007C6B42"/>
    <w:rsid w:val="007C6EF3"/>
    <w:rsid w:val="007C7316"/>
    <w:rsid w:val="007D0EA7"/>
    <w:rsid w:val="007D21E6"/>
    <w:rsid w:val="007D2A87"/>
    <w:rsid w:val="007D3010"/>
    <w:rsid w:val="007D31E8"/>
    <w:rsid w:val="007D41B6"/>
    <w:rsid w:val="007D45B5"/>
    <w:rsid w:val="007D62B3"/>
    <w:rsid w:val="007D70BE"/>
    <w:rsid w:val="007D7431"/>
    <w:rsid w:val="007D7E9E"/>
    <w:rsid w:val="007E0C7F"/>
    <w:rsid w:val="007E1FE2"/>
    <w:rsid w:val="007E6472"/>
    <w:rsid w:val="007E6DC0"/>
    <w:rsid w:val="007F072B"/>
    <w:rsid w:val="007F264D"/>
    <w:rsid w:val="007F291A"/>
    <w:rsid w:val="007F3089"/>
    <w:rsid w:val="007F77AC"/>
    <w:rsid w:val="00800A89"/>
    <w:rsid w:val="008029E0"/>
    <w:rsid w:val="008042C4"/>
    <w:rsid w:val="00805C4B"/>
    <w:rsid w:val="00806461"/>
    <w:rsid w:val="0080676A"/>
    <w:rsid w:val="00807550"/>
    <w:rsid w:val="008107BE"/>
    <w:rsid w:val="00810913"/>
    <w:rsid w:val="00811988"/>
    <w:rsid w:val="00812B7A"/>
    <w:rsid w:val="00815B8C"/>
    <w:rsid w:val="008161FD"/>
    <w:rsid w:val="00817488"/>
    <w:rsid w:val="008179BE"/>
    <w:rsid w:val="0082127E"/>
    <w:rsid w:val="008218D8"/>
    <w:rsid w:val="00824810"/>
    <w:rsid w:val="00826E40"/>
    <w:rsid w:val="0083225D"/>
    <w:rsid w:val="00832657"/>
    <w:rsid w:val="00832C30"/>
    <w:rsid w:val="00834007"/>
    <w:rsid w:val="008354D0"/>
    <w:rsid w:val="00837EE4"/>
    <w:rsid w:val="00841938"/>
    <w:rsid w:val="00841B3F"/>
    <w:rsid w:val="00841F49"/>
    <w:rsid w:val="00842C15"/>
    <w:rsid w:val="00842D6F"/>
    <w:rsid w:val="00842FB9"/>
    <w:rsid w:val="008438C8"/>
    <w:rsid w:val="00847A1A"/>
    <w:rsid w:val="0085330A"/>
    <w:rsid w:val="008546F7"/>
    <w:rsid w:val="00854756"/>
    <w:rsid w:val="0085691F"/>
    <w:rsid w:val="00856A06"/>
    <w:rsid w:val="00857149"/>
    <w:rsid w:val="0085722A"/>
    <w:rsid w:val="00857B67"/>
    <w:rsid w:val="00861FFE"/>
    <w:rsid w:val="00863DDC"/>
    <w:rsid w:val="008645D3"/>
    <w:rsid w:val="00864B5D"/>
    <w:rsid w:val="00865245"/>
    <w:rsid w:val="008652EA"/>
    <w:rsid w:val="008667D3"/>
    <w:rsid w:val="00867D6E"/>
    <w:rsid w:val="0087294B"/>
    <w:rsid w:val="0087336B"/>
    <w:rsid w:val="008742FA"/>
    <w:rsid w:val="008745F5"/>
    <w:rsid w:val="00874EDA"/>
    <w:rsid w:val="00875B0B"/>
    <w:rsid w:val="00875EEF"/>
    <w:rsid w:val="00876F84"/>
    <w:rsid w:val="00877587"/>
    <w:rsid w:val="008809DE"/>
    <w:rsid w:val="00880B2F"/>
    <w:rsid w:val="00882A23"/>
    <w:rsid w:val="00882E27"/>
    <w:rsid w:val="0088319A"/>
    <w:rsid w:val="00883365"/>
    <w:rsid w:val="0088418C"/>
    <w:rsid w:val="00884F43"/>
    <w:rsid w:val="0088504B"/>
    <w:rsid w:val="008854FF"/>
    <w:rsid w:val="00885F83"/>
    <w:rsid w:val="00887224"/>
    <w:rsid w:val="00887A2D"/>
    <w:rsid w:val="00887A87"/>
    <w:rsid w:val="00890D16"/>
    <w:rsid w:val="00891F76"/>
    <w:rsid w:val="008923E8"/>
    <w:rsid w:val="00892C85"/>
    <w:rsid w:val="00895846"/>
    <w:rsid w:val="00895AB5"/>
    <w:rsid w:val="00896887"/>
    <w:rsid w:val="00896D27"/>
    <w:rsid w:val="008A2260"/>
    <w:rsid w:val="008A290C"/>
    <w:rsid w:val="008A2CBE"/>
    <w:rsid w:val="008A2DBA"/>
    <w:rsid w:val="008A2F2B"/>
    <w:rsid w:val="008A3A6B"/>
    <w:rsid w:val="008A3BA9"/>
    <w:rsid w:val="008A5296"/>
    <w:rsid w:val="008A5D81"/>
    <w:rsid w:val="008A7555"/>
    <w:rsid w:val="008B1A78"/>
    <w:rsid w:val="008B214D"/>
    <w:rsid w:val="008B2B4A"/>
    <w:rsid w:val="008B42AD"/>
    <w:rsid w:val="008B4CB6"/>
    <w:rsid w:val="008B6235"/>
    <w:rsid w:val="008B6D44"/>
    <w:rsid w:val="008B79E6"/>
    <w:rsid w:val="008C0E81"/>
    <w:rsid w:val="008C1E0D"/>
    <w:rsid w:val="008C1F80"/>
    <w:rsid w:val="008C5230"/>
    <w:rsid w:val="008C614D"/>
    <w:rsid w:val="008C6467"/>
    <w:rsid w:val="008C78BC"/>
    <w:rsid w:val="008D1C28"/>
    <w:rsid w:val="008D2D25"/>
    <w:rsid w:val="008D43A1"/>
    <w:rsid w:val="008D5149"/>
    <w:rsid w:val="008D7A94"/>
    <w:rsid w:val="008E004D"/>
    <w:rsid w:val="008E2C51"/>
    <w:rsid w:val="008E44CC"/>
    <w:rsid w:val="008E4D20"/>
    <w:rsid w:val="008E6A99"/>
    <w:rsid w:val="008E6D81"/>
    <w:rsid w:val="008F0BAD"/>
    <w:rsid w:val="008F0D82"/>
    <w:rsid w:val="008F21AC"/>
    <w:rsid w:val="008F2D21"/>
    <w:rsid w:val="008F2E2E"/>
    <w:rsid w:val="008F31B9"/>
    <w:rsid w:val="008F4177"/>
    <w:rsid w:val="008F4C5E"/>
    <w:rsid w:val="008F6EC5"/>
    <w:rsid w:val="008F74D7"/>
    <w:rsid w:val="008F7EEE"/>
    <w:rsid w:val="00901E04"/>
    <w:rsid w:val="009043D2"/>
    <w:rsid w:val="00905D34"/>
    <w:rsid w:val="00906441"/>
    <w:rsid w:val="0090756F"/>
    <w:rsid w:val="00910F9F"/>
    <w:rsid w:val="00911D7B"/>
    <w:rsid w:val="00914683"/>
    <w:rsid w:val="0091789F"/>
    <w:rsid w:val="0092416E"/>
    <w:rsid w:val="009308BC"/>
    <w:rsid w:val="00930B9E"/>
    <w:rsid w:val="00932651"/>
    <w:rsid w:val="00932756"/>
    <w:rsid w:val="0093461A"/>
    <w:rsid w:val="00934B51"/>
    <w:rsid w:val="0093533F"/>
    <w:rsid w:val="00935735"/>
    <w:rsid w:val="00936092"/>
    <w:rsid w:val="009364BB"/>
    <w:rsid w:val="0094017C"/>
    <w:rsid w:val="00940F4B"/>
    <w:rsid w:val="009426EA"/>
    <w:rsid w:val="00944BFB"/>
    <w:rsid w:val="009451C1"/>
    <w:rsid w:val="0094566B"/>
    <w:rsid w:val="00950048"/>
    <w:rsid w:val="009507CE"/>
    <w:rsid w:val="00950E8F"/>
    <w:rsid w:val="009518E7"/>
    <w:rsid w:val="0095247C"/>
    <w:rsid w:val="009530A6"/>
    <w:rsid w:val="00954005"/>
    <w:rsid w:val="0095614D"/>
    <w:rsid w:val="009601CE"/>
    <w:rsid w:val="00960468"/>
    <w:rsid w:val="00960E8E"/>
    <w:rsid w:val="009658ED"/>
    <w:rsid w:val="00966308"/>
    <w:rsid w:val="00970B1B"/>
    <w:rsid w:val="00971CF8"/>
    <w:rsid w:val="00971F01"/>
    <w:rsid w:val="009721AE"/>
    <w:rsid w:val="0097234E"/>
    <w:rsid w:val="0097558A"/>
    <w:rsid w:val="00984F7F"/>
    <w:rsid w:val="00985534"/>
    <w:rsid w:val="009865D6"/>
    <w:rsid w:val="00993532"/>
    <w:rsid w:val="00993B22"/>
    <w:rsid w:val="00994562"/>
    <w:rsid w:val="00994A8F"/>
    <w:rsid w:val="00994CA8"/>
    <w:rsid w:val="00996AC1"/>
    <w:rsid w:val="009A0837"/>
    <w:rsid w:val="009A16F1"/>
    <w:rsid w:val="009A3B1E"/>
    <w:rsid w:val="009A5018"/>
    <w:rsid w:val="009A654A"/>
    <w:rsid w:val="009A7330"/>
    <w:rsid w:val="009B02A5"/>
    <w:rsid w:val="009B0770"/>
    <w:rsid w:val="009B0C8F"/>
    <w:rsid w:val="009B0C94"/>
    <w:rsid w:val="009B25DD"/>
    <w:rsid w:val="009B25EC"/>
    <w:rsid w:val="009B2751"/>
    <w:rsid w:val="009B2830"/>
    <w:rsid w:val="009B2C13"/>
    <w:rsid w:val="009B345A"/>
    <w:rsid w:val="009B4A2A"/>
    <w:rsid w:val="009B4F55"/>
    <w:rsid w:val="009B4F8E"/>
    <w:rsid w:val="009B6653"/>
    <w:rsid w:val="009B7115"/>
    <w:rsid w:val="009B7EB2"/>
    <w:rsid w:val="009C0F67"/>
    <w:rsid w:val="009C100F"/>
    <w:rsid w:val="009C3A4E"/>
    <w:rsid w:val="009C3E82"/>
    <w:rsid w:val="009C496A"/>
    <w:rsid w:val="009C6071"/>
    <w:rsid w:val="009C69C7"/>
    <w:rsid w:val="009C7E3A"/>
    <w:rsid w:val="009D092F"/>
    <w:rsid w:val="009D0ACC"/>
    <w:rsid w:val="009D1DDB"/>
    <w:rsid w:val="009D25F4"/>
    <w:rsid w:val="009D2EED"/>
    <w:rsid w:val="009D33EE"/>
    <w:rsid w:val="009D3BDD"/>
    <w:rsid w:val="009D4904"/>
    <w:rsid w:val="009D5822"/>
    <w:rsid w:val="009D5E78"/>
    <w:rsid w:val="009D5F3B"/>
    <w:rsid w:val="009D6C6A"/>
    <w:rsid w:val="009D76DE"/>
    <w:rsid w:val="009E3308"/>
    <w:rsid w:val="009E355E"/>
    <w:rsid w:val="009E445F"/>
    <w:rsid w:val="009E4643"/>
    <w:rsid w:val="009E4FFB"/>
    <w:rsid w:val="009E62CD"/>
    <w:rsid w:val="009E7182"/>
    <w:rsid w:val="009E7D70"/>
    <w:rsid w:val="009F04DF"/>
    <w:rsid w:val="009F3C0C"/>
    <w:rsid w:val="009F43B8"/>
    <w:rsid w:val="009F5AC9"/>
    <w:rsid w:val="009F6FC8"/>
    <w:rsid w:val="009F7409"/>
    <w:rsid w:val="009F7E18"/>
    <w:rsid w:val="00A00082"/>
    <w:rsid w:val="00A0049F"/>
    <w:rsid w:val="00A007D7"/>
    <w:rsid w:val="00A00B23"/>
    <w:rsid w:val="00A01510"/>
    <w:rsid w:val="00A01E0E"/>
    <w:rsid w:val="00A02326"/>
    <w:rsid w:val="00A03317"/>
    <w:rsid w:val="00A03334"/>
    <w:rsid w:val="00A03D8F"/>
    <w:rsid w:val="00A061A7"/>
    <w:rsid w:val="00A06FDA"/>
    <w:rsid w:val="00A13CAD"/>
    <w:rsid w:val="00A150E9"/>
    <w:rsid w:val="00A17AD7"/>
    <w:rsid w:val="00A17DCF"/>
    <w:rsid w:val="00A204D9"/>
    <w:rsid w:val="00A20E5F"/>
    <w:rsid w:val="00A212CE"/>
    <w:rsid w:val="00A215FE"/>
    <w:rsid w:val="00A21B76"/>
    <w:rsid w:val="00A24488"/>
    <w:rsid w:val="00A24845"/>
    <w:rsid w:val="00A24E09"/>
    <w:rsid w:val="00A257E0"/>
    <w:rsid w:val="00A25D39"/>
    <w:rsid w:val="00A25E4D"/>
    <w:rsid w:val="00A25EB7"/>
    <w:rsid w:val="00A26673"/>
    <w:rsid w:val="00A313D1"/>
    <w:rsid w:val="00A31D9A"/>
    <w:rsid w:val="00A3223B"/>
    <w:rsid w:val="00A3333E"/>
    <w:rsid w:val="00A334F8"/>
    <w:rsid w:val="00A34AC9"/>
    <w:rsid w:val="00A34AD3"/>
    <w:rsid w:val="00A35976"/>
    <w:rsid w:val="00A35CA0"/>
    <w:rsid w:val="00A35D27"/>
    <w:rsid w:val="00A3681B"/>
    <w:rsid w:val="00A406DD"/>
    <w:rsid w:val="00A40988"/>
    <w:rsid w:val="00A41770"/>
    <w:rsid w:val="00A417D5"/>
    <w:rsid w:val="00A41BF1"/>
    <w:rsid w:val="00A425FF"/>
    <w:rsid w:val="00A43F2E"/>
    <w:rsid w:val="00A453D1"/>
    <w:rsid w:val="00A457A7"/>
    <w:rsid w:val="00A46065"/>
    <w:rsid w:val="00A46BB8"/>
    <w:rsid w:val="00A47B09"/>
    <w:rsid w:val="00A47D22"/>
    <w:rsid w:val="00A50B2A"/>
    <w:rsid w:val="00A50C76"/>
    <w:rsid w:val="00A55677"/>
    <w:rsid w:val="00A55C9F"/>
    <w:rsid w:val="00A55DAF"/>
    <w:rsid w:val="00A620D4"/>
    <w:rsid w:val="00A62272"/>
    <w:rsid w:val="00A629EF"/>
    <w:rsid w:val="00A62B98"/>
    <w:rsid w:val="00A62D87"/>
    <w:rsid w:val="00A63527"/>
    <w:rsid w:val="00A637AA"/>
    <w:rsid w:val="00A64CB4"/>
    <w:rsid w:val="00A65306"/>
    <w:rsid w:val="00A65615"/>
    <w:rsid w:val="00A665E9"/>
    <w:rsid w:val="00A66727"/>
    <w:rsid w:val="00A67D36"/>
    <w:rsid w:val="00A705D0"/>
    <w:rsid w:val="00A71FF8"/>
    <w:rsid w:val="00A72BCC"/>
    <w:rsid w:val="00A73431"/>
    <w:rsid w:val="00A74DC3"/>
    <w:rsid w:val="00A76319"/>
    <w:rsid w:val="00A76E81"/>
    <w:rsid w:val="00A77DCA"/>
    <w:rsid w:val="00A80D7E"/>
    <w:rsid w:val="00A8104F"/>
    <w:rsid w:val="00A812E0"/>
    <w:rsid w:val="00A81458"/>
    <w:rsid w:val="00A81A4D"/>
    <w:rsid w:val="00A8230C"/>
    <w:rsid w:val="00A8238D"/>
    <w:rsid w:val="00A82FA0"/>
    <w:rsid w:val="00A83178"/>
    <w:rsid w:val="00A84AC0"/>
    <w:rsid w:val="00A8566F"/>
    <w:rsid w:val="00A85702"/>
    <w:rsid w:val="00A86583"/>
    <w:rsid w:val="00A8687A"/>
    <w:rsid w:val="00A90EC5"/>
    <w:rsid w:val="00A91303"/>
    <w:rsid w:val="00A915E4"/>
    <w:rsid w:val="00A91C44"/>
    <w:rsid w:val="00A9299C"/>
    <w:rsid w:val="00A93700"/>
    <w:rsid w:val="00A97D56"/>
    <w:rsid w:val="00A97E36"/>
    <w:rsid w:val="00AA0058"/>
    <w:rsid w:val="00AA1D71"/>
    <w:rsid w:val="00AA21EA"/>
    <w:rsid w:val="00AA260F"/>
    <w:rsid w:val="00AA2D69"/>
    <w:rsid w:val="00AA3829"/>
    <w:rsid w:val="00AA60BA"/>
    <w:rsid w:val="00AA6AEE"/>
    <w:rsid w:val="00AA7AAC"/>
    <w:rsid w:val="00AA7B19"/>
    <w:rsid w:val="00AB07C5"/>
    <w:rsid w:val="00AB17B1"/>
    <w:rsid w:val="00AB2ADD"/>
    <w:rsid w:val="00AB4169"/>
    <w:rsid w:val="00AB4B1F"/>
    <w:rsid w:val="00AB5025"/>
    <w:rsid w:val="00AB54E3"/>
    <w:rsid w:val="00AB5EAE"/>
    <w:rsid w:val="00AB6D37"/>
    <w:rsid w:val="00AB7606"/>
    <w:rsid w:val="00AB7760"/>
    <w:rsid w:val="00AC023E"/>
    <w:rsid w:val="00AC3362"/>
    <w:rsid w:val="00AC3CA7"/>
    <w:rsid w:val="00AC3F31"/>
    <w:rsid w:val="00AC4476"/>
    <w:rsid w:val="00AC4D90"/>
    <w:rsid w:val="00AC4F8F"/>
    <w:rsid w:val="00AC5D3B"/>
    <w:rsid w:val="00AC6E46"/>
    <w:rsid w:val="00AC6FEF"/>
    <w:rsid w:val="00AD25DC"/>
    <w:rsid w:val="00AD46FA"/>
    <w:rsid w:val="00AD49F7"/>
    <w:rsid w:val="00AD66DD"/>
    <w:rsid w:val="00AD6D6F"/>
    <w:rsid w:val="00AD7257"/>
    <w:rsid w:val="00AD7856"/>
    <w:rsid w:val="00AD7FB1"/>
    <w:rsid w:val="00AE0594"/>
    <w:rsid w:val="00AE0BFE"/>
    <w:rsid w:val="00AE0D06"/>
    <w:rsid w:val="00AE19A4"/>
    <w:rsid w:val="00AE1A88"/>
    <w:rsid w:val="00AE3EE5"/>
    <w:rsid w:val="00AE3F16"/>
    <w:rsid w:val="00AE4469"/>
    <w:rsid w:val="00AE4DD8"/>
    <w:rsid w:val="00AE5087"/>
    <w:rsid w:val="00AE539E"/>
    <w:rsid w:val="00AF1C9E"/>
    <w:rsid w:val="00AF342E"/>
    <w:rsid w:val="00AF452B"/>
    <w:rsid w:val="00B0109C"/>
    <w:rsid w:val="00B02825"/>
    <w:rsid w:val="00B02CBC"/>
    <w:rsid w:val="00B03667"/>
    <w:rsid w:val="00B0391B"/>
    <w:rsid w:val="00B03AB4"/>
    <w:rsid w:val="00B04976"/>
    <w:rsid w:val="00B04A35"/>
    <w:rsid w:val="00B04F48"/>
    <w:rsid w:val="00B11151"/>
    <w:rsid w:val="00B142C9"/>
    <w:rsid w:val="00B147C1"/>
    <w:rsid w:val="00B21382"/>
    <w:rsid w:val="00B21465"/>
    <w:rsid w:val="00B21522"/>
    <w:rsid w:val="00B221B1"/>
    <w:rsid w:val="00B23476"/>
    <w:rsid w:val="00B23798"/>
    <w:rsid w:val="00B24684"/>
    <w:rsid w:val="00B25728"/>
    <w:rsid w:val="00B25A51"/>
    <w:rsid w:val="00B27C8A"/>
    <w:rsid w:val="00B342DD"/>
    <w:rsid w:val="00B34995"/>
    <w:rsid w:val="00B36518"/>
    <w:rsid w:val="00B36AE7"/>
    <w:rsid w:val="00B36C79"/>
    <w:rsid w:val="00B40FBF"/>
    <w:rsid w:val="00B41112"/>
    <w:rsid w:val="00B445AD"/>
    <w:rsid w:val="00B457AE"/>
    <w:rsid w:val="00B47337"/>
    <w:rsid w:val="00B477E4"/>
    <w:rsid w:val="00B47AD8"/>
    <w:rsid w:val="00B50316"/>
    <w:rsid w:val="00B51E07"/>
    <w:rsid w:val="00B51F2C"/>
    <w:rsid w:val="00B52430"/>
    <w:rsid w:val="00B542BE"/>
    <w:rsid w:val="00B55AB6"/>
    <w:rsid w:val="00B55EDC"/>
    <w:rsid w:val="00B60D26"/>
    <w:rsid w:val="00B60F95"/>
    <w:rsid w:val="00B61EC1"/>
    <w:rsid w:val="00B620F1"/>
    <w:rsid w:val="00B621BC"/>
    <w:rsid w:val="00B63815"/>
    <w:rsid w:val="00B6480D"/>
    <w:rsid w:val="00B65062"/>
    <w:rsid w:val="00B654C5"/>
    <w:rsid w:val="00B6681B"/>
    <w:rsid w:val="00B66836"/>
    <w:rsid w:val="00B679FD"/>
    <w:rsid w:val="00B67B76"/>
    <w:rsid w:val="00B67C57"/>
    <w:rsid w:val="00B705AF"/>
    <w:rsid w:val="00B70F87"/>
    <w:rsid w:val="00B766C8"/>
    <w:rsid w:val="00B7732B"/>
    <w:rsid w:val="00B77C69"/>
    <w:rsid w:val="00B80155"/>
    <w:rsid w:val="00B80323"/>
    <w:rsid w:val="00B80595"/>
    <w:rsid w:val="00B80A07"/>
    <w:rsid w:val="00B81349"/>
    <w:rsid w:val="00B81649"/>
    <w:rsid w:val="00B818E0"/>
    <w:rsid w:val="00B81D6D"/>
    <w:rsid w:val="00B81F1D"/>
    <w:rsid w:val="00B82190"/>
    <w:rsid w:val="00B823C6"/>
    <w:rsid w:val="00B82AA5"/>
    <w:rsid w:val="00B82CC3"/>
    <w:rsid w:val="00B834F1"/>
    <w:rsid w:val="00B836C3"/>
    <w:rsid w:val="00B84313"/>
    <w:rsid w:val="00B84A01"/>
    <w:rsid w:val="00B908C3"/>
    <w:rsid w:val="00B9287E"/>
    <w:rsid w:val="00B92A05"/>
    <w:rsid w:val="00B93453"/>
    <w:rsid w:val="00B94E77"/>
    <w:rsid w:val="00B954C7"/>
    <w:rsid w:val="00B97628"/>
    <w:rsid w:val="00BA1BF6"/>
    <w:rsid w:val="00BA25C4"/>
    <w:rsid w:val="00BA2ED4"/>
    <w:rsid w:val="00BA46F4"/>
    <w:rsid w:val="00BA68AC"/>
    <w:rsid w:val="00BB01E2"/>
    <w:rsid w:val="00BB2EA4"/>
    <w:rsid w:val="00BB4034"/>
    <w:rsid w:val="00BB50EF"/>
    <w:rsid w:val="00BB6BC5"/>
    <w:rsid w:val="00BB7D94"/>
    <w:rsid w:val="00BC2733"/>
    <w:rsid w:val="00BC4A49"/>
    <w:rsid w:val="00BC6DAD"/>
    <w:rsid w:val="00BC6E74"/>
    <w:rsid w:val="00BC6F93"/>
    <w:rsid w:val="00BC73E2"/>
    <w:rsid w:val="00BC7FC4"/>
    <w:rsid w:val="00BD0B50"/>
    <w:rsid w:val="00BD1B58"/>
    <w:rsid w:val="00BD278B"/>
    <w:rsid w:val="00BD2F84"/>
    <w:rsid w:val="00BD4A30"/>
    <w:rsid w:val="00BD53E6"/>
    <w:rsid w:val="00BD7144"/>
    <w:rsid w:val="00BE059C"/>
    <w:rsid w:val="00BE1A53"/>
    <w:rsid w:val="00BE2B7D"/>
    <w:rsid w:val="00BE387B"/>
    <w:rsid w:val="00BE39EF"/>
    <w:rsid w:val="00BE3C79"/>
    <w:rsid w:val="00BE3F38"/>
    <w:rsid w:val="00BE558C"/>
    <w:rsid w:val="00BE7092"/>
    <w:rsid w:val="00BF20EE"/>
    <w:rsid w:val="00BF391F"/>
    <w:rsid w:val="00BF50E3"/>
    <w:rsid w:val="00BF535B"/>
    <w:rsid w:val="00BF7234"/>
    <w:rsid w:val="00BF7D15"/>
    <w:rsid w:val="00C02CF2"/>
    <w:rsid w:val="00C03C70"/>
    <w:rsid w:val="00C04394"/>
    <w:rsid w:val="00C04804"/>
    <w:rsid w:val="00C062DC"/>
    <w:rsid w:val="00C12B10"/>
    <w:rsid w:val="00C136E1"/>
    <w:rsid w:val="00C13C97"/>
    <w:rsid w:val="00C1698A"/>
    <w:rsid w:val="00C17683"/>
    <w:rsid w:val="00C20A0A"/>
    <w:rsid w:val="00C248FF"/>
    <w:rsid w:val="00C26CCA"/>
    <w:rsid w:val="00C27D4E"/>
    <w:rsid w:val="00C30379"/>
    <w:rsid w:val="00C32CC0"/>
    <w:rsid w:val="00C34D3C"/>
    <w:rsid w:val="00C35370"/>
    <w:rsid w:val="00C36707"/>
    <w:rsid w:val="00C37CF0"/>
    <w:rsid w:val="00C42879"/>
    <w:rsid w:val="00C42CB7"/>
    <w:rsid w:val="00C430A0"/>
    <w:rsid w:val="00C433F4"/>
    <w:rsid w:val="00C43C58"/>
    <w:rsid w:val="00C4711D"/>
    <w:rsid w:val="00C47BB0"/>
    <w:rsid w:val="00C50BDF"/>
    <w:rsid w:val="00C523F8"/>
    <w:rsid w:val="00C52CA3"/>
    <w:rsid w:val="00C56F5E"/>
    <w:rsid w:val="00C601B9"/>
    <w:rsid w:val="00C62759"/>
    <w:rsid w:val="00C64C06"/>
    <w:rsid w:val="00C65141"/>
    <w:rsid w:val="00C66334"/>
    <w:rsid w:val="00C66345"/>
    <w:rsid w:val="00C66506"/>
    <w:rsid w:val="00C700A2"/>
    <w:rsid w:val="00C702DB"/>
    <w:rsid w:val="00C711C7"/>
    <w:rsid w:val="00C73898"/>
    <w:rsid w:val="00C73F44"/>
    <w:rsid w:val="00C74EB3"/>
    <w:rsid w:val="00C751AB"/>
    <w:rsid w:val="00C77FF4"/>
    <w:rsid w:val="00C810E8"/>
    <w:rsid w:val="00C82B51"/>
    <w:rsid w:val="00C82D5D"/>
    <w:rsid w:val="00C85401"/>
    <w:rsid w:val="00C8557D"/>
    <w:rsid w:val="00C8650F"/>
    <w:rsid w:val="00C87480"/>
    <w:rsid w:val="00C90681"/>
    <w:rsid w:val="00C907F7"/>
    <w:rsid w:val="00C908B2"/>
    <w:rsid w:val="00C93336"/>
    <w:rsid w:val="00C93E68"/>
    <w:rsid w:val="00C94E3B"/>
    <w:rsid w:val="00C960B9"/>
    <w:rsid w:val="00C966E5"/>
    <w:rsid w:val="00C970E0"/>
    <w:rsid w:val="00C97D03"/>
    <w:rsid w:val="00CA3944"/>
    <w:rsid w:val="00CA622F"/>
    <w:rsid w:val="00CA6CA6"/>
    <w:rsid w:val="00CA78D6"/>
    <w:rsid w:val="00CA7F45"/>
    <w:rsid w:val="00CB1591"/>
    <w:rsid w:val="00CB3E25"/>
    <w:rsid w:val="00CB4CCB"/>
    <w:rsid w:val="00CB6CC4"/>
    <w:rsid w:val="00CB7296"/>
    <w:rsid w:val="00CB7E8C"/>
    <w:rsid w:val="00CC299D"/>
    <w:rsid w:val="00CC2D07"/>
    <w:rsid w:val="00CC3050"/>
    <w:rsid w:val="00CC532A"/>
    <w:rsid w:val="00CC71B9"/>
    <w:rsid w:val="00CC71F9"/>
    <w:rsid w:val="00CD03BF"/>
    <w:rsid w:val="00CD1D59"/>
    <w:rsid w:val="00CD212F"/>
    <w:rsid w:val="00CD28D5"/>
    <w:rsid w:val="00CD2CF1"/>
    <w:rsid w:val="00CD2FC8"/>
    <w:rsid w:val="00CD3ABB"/>
    <w:rsid w:val="00CD409B"/>
    <w:rsid w:val="00CD6893"/>
    <w:rsid w:val="00CD74ED"/>
    <w:rsid w:val="00CD7AD2"/>
    <w:rsid w:val="00CE086B"/>
    <w:rsid w:val="00CE1099"/>
    <w:rsid w:val="00CE1ECF"/>
    <w:rsid w:val="00CE23F6"/>
    <w:rsid w:val="00CE25B0"/>
    <w:rsid w:val="00CE338A"/>
    <w:rsid w:val="00CE4F47"/>
    <w:rsid w:val="00CE5337"/>
    <w:rsid w:val="00CE67FA"/>
    <w:rsid w:val="00CE71A8"/>
    <w:rsid w:val="00CE7985"/>
    <w:rsid w:val="00CF05A0"/>
    <w:rsid w:val="00CF090E"/>
    <w:rsid w:val="00CF16CA"/>
    <w:rsid w:val="00CF16FF"/>
    <w:rsid w:val="00CF200B"/>
    <w:rsid w:val="00CF2357"/>
    <w:rsid w:val="00CF50A0"/>
    <w:rsid w:val="00D0109F"/>
    <w:rsid w:val="00D0317B"/>
    <w:rsid w:val="00D0454D"/>
    <w:rsid w:val="00D04DD9"/>
    <w:rsid w:val="00D05E0B"/>
    <w:rsid w:val="00D06CB9"/>
    <w:rsid w:val="00D07818"/>
    <w:rsid w:val="00D10C4B"/>
    <w:rsid w:val="00D113EE"/>
    <w:rsid w:val="00D12952"/>
    <w:rsid w:val="00D12A64"/>
    <w:rsid w:val="00D13422"/>
    <w:rsid w:val="00D14425"/>
    <w:rsid w:val="00D15C8D"/>
    <w:rsid w:val="00D161E9"/>
    <w:rsid w:val="00D17ACB"/>
    <w:rsid w:val="00D20239"/>
    <w:rsid w:val="00D20901"/>
    <w:rsid w:val="00D20FE9"/>
    <w:rsid w:val="00D22463"/>
    <w:rsid w:val="00D22C8A"/>
    <w:rsid w:val="00D24ACA"/>
    <w:rsid w:val="00D25758"/>
    <w:rsid w:val="00D259EC"/>
    <w:rsid w:val="00D26F60"/>
    <w:rsid w:val="00D30124"/>
    <w:rsid w:val="00D30293"/>
    <w:rsid w:val="00D322BA"/>
    <w:rsid w:val="00D323E9"/>
    <w:rsid w:val="00D3366F"/>
    <w:rsid w:val="00D34BEA"/>
    <w:rsid w:val="00D35399"/>
    <w:rsid w:val="00D366A5"/>
    <w:rsid w:val="00D375E9"/>
    <w:rsid w:val="00D43B09"/>
    <w:rsid w:val="00D43B55"/>
    <w:rsid w:val="00D44D5A"/>
    <w:rsid w:val="00D44EB1"/>
    <w:rsid w:val="00D45CCF"/>
    <w:rsid w:val="00D45F31"/>
    <w:rsid w:val="00D4606C"/>
    <w:rsid w:val="00D4716D"/>
    <w:rsid w:val="00D479FB"/>
    <w:rsid w:val="00D50DDA"/>
    <w:rsid w:val="00D51085"/>
    <w:rsid w:val="00D51CC5"/>
    <w:rsid w:val="00D525C6"/>
    <w:rsid w:val="00D52880"/>
    <w:rsid w:val="00D570DE"/>
    <w:rsid w:val="00D6008E"/>
    <w:rsid w:val="00D61E72"/>
    <w:rsid w:val="00D62F1C"/>
    <w:rsid w:val="00D633EA"/>
    <w:rsid w:val="00D63FB3"/>
    <w:rsid w:val="00D644F1"/>
    <w:rsid w:val="00D64F01"/>
    <w:rsid w:val="00D661AB"/>
    <w:rsid w:val="00D702B4"/>
    <w:rsid w:val="00D70E21"/>
    <w:rsid w:val="00D73CBE"/>
    <w:rsid w:val="00D74AF4"/>
    <w:rsid w:val="00D751AF"/>
    <w:rsid w:val="00D76630"/>
    <w:rsid w:val="00D76906"/>
    <w:rsid w:val="00D77B5F"/>
    <w:rsid w:val="00D77D11"/>
    <w:rsid w:val="00D77F32"/>
    <w:rsid w:val="00D80821"/>
    <w:rsid w:val="00D80B64"/>
    <w:rsid w:val="00D811C2"/>
    <w:rsid w:val="00D81B48"/>
    <w:rsid w:val="00D833E4"/>
    <w:rsid w:val="00D8459C"/>
    <w:rsid w:val="00D8551F"/>
    <w:rsid w:val="00D87541"/>
    <w:rsid w:val="00D90BE0"/>
    <w:rsid w:val="00D91D78"/>
    <w:rsid w:val="00D927FF"/>
    <w:rsid w:val="00D93011"/>
    <w:rsid w:val="00D93CA7"/>
    <w:rsid w:val="00D94A82"/>
    <w:rsid w:val="00D94F19"/>
    <w:rsid w:val="00D954EA"/>
    <w:rsid w:val="00D96273"/>
    <w:rsid w:val="00D969BA"/>
    <w:rsid w:val="00D97235"/>
    <w:rsid w:val="00DA0498"/>
    <w:rsid w:val="00DA0E32"/>
    <w:rsid w:val="00DA10B5"/>
    <w:rsid w:val="00DA3A41"/>
    <w:rsid w:val="00DA3B86"/>
    <w:rsid w:val="00DA3CF7"/>
    <w:rsid w:val="00DA685D"/>
    <w:rsid w:val="00DA6980"/>
    <w:rsid w:val="00DA70D3"/>
    <w:rsid w:val="00DA7786"/>
    <w:rsid w:val="00DA7E26"/>
    <w:rsid w:val="00DB17ED"/>
    <w:rsid w:val="00DB5746"/>
    <w:rsid w:val="00DB60E7"/>
    <w:rsid w:val="00DB628A"/>
    <w:rsid w:val="00DB6500"/>
    <w:rsid w:val="00DB6B75"/>
    <w:rsid w:val="00DB6C13"/>
    <w:rsid w:val="00DB6E76"/>
    <w:rsid w:val="00DB722B"/>
    <w:rsid w:val="00DB7AF9"/>
    <w:rsid w:val="00DC09A0"/>
    <w:rsid w:val="00DC2226"/>
    <w:rsid w:val="00DC335A"/>
    <w:rsid w:val="00DC4205"/>
    <w:rsid w:val="00DC5A9B"/>
    <w:rsid w:val="00DC5EAC"/>
    <w:rsid w:val="00DC7ECC"/>
    <w:rsid w:val="00DC7FF1"/>
    <w:rsid w:val="00DD0225"/>
    <w:rsid w:val="00DD1A1E"/>
    <w:rsid w:val="00DD2584"/>
    <w:rsid w:val="00DD31C3"/>
    <w:rsid w:val="00DD53E9"/>
    <w:rsid w:val="00DD59CD"/>
    <w:rsid w:val="00DD5A02"/>
    <w:rsid w:val="00DD7031"/>
    <w:rsid w:val="00DD70FC"/>
    <w:rsid w:val="00DD7122"/>
    <w:rsid w:val="00DD736E"/>
    <w:rsid w:val="00DE12E0"/>
    <w:rsid w:val="00DE1D6E"/>
    <w:rsid w:val="00DE328D"/>
    <w:rsid w:val="00DE33D4"/>
    <w:rsid w:val="00DE3400"/>
    <w:rsid w:val="00DE5AA9"/>
    <w:rsid w:val="00DE6E91"/>
    <w:rsid w:val="00DF05F5"/>
    <w:rsid w:val="00DF0DEC"/>
    <w:rsid w:val="00DF17E5"/>
    <w:rsid w:val="00DF1947"/>
    <w:rsid w:val="00DF2DDB"/>
    <w:rsid w:val="00DF30C5"/>
    <w:rsid w:val="00DF37F4"/>
    <w:rsid w:val="00DF4E50"/>
    <w:rsid w:val="00E01A59"/>
    <w:rsid w:val="00E029BA"/>
    <w:rsid w:val="00E034C5"/>
    <w:rsid w:val="00E03DFE"/>
    <w:rsid w:val="00E050CB"/>
    <w:rsid w:val="00E05510"/>
    <w:rsid w:val="00E0711C"/>
    <w:rsid w:val="00E0720F"/>
    <w:rsid w:val="00E07732"/>
    <w:rsid w:val="00E10AA3"/>
    <w:rsid w:val="00E10BEC"/>
    <w:rsid w:val="00E10E92"/>
    <w:rsid w:val="00E11E2D"/>
    <w:rsid w:val="00E12A3F"/>
    <w:rsid w:val="00E13A11"/>
    <w:rsid w:val="00E1413F"/>
    <w:rsid w:val="00E20637"/>
    <w:rsid w:val="00E220BA"/>
    <w:rsid w:val="00E23D27"/>
    <w:rsid w:val="00E24E49"/>
    <w:rsid w:val="00E266EB"/>
    <w:rsid w:val="00E27093"/>
    <w:rsid w:val="00E308E0"/>
    <w:rsid w:val="00E30AA9"/>
    <w:rsid w:val="00E30E8A"/>
    <w:rsid w:val="00E332BA"/>
    <w:rsid w:val="00E33785"/>
    <w:rsid w:val="00E339A1"/>
    <w:rsid w:val="00E34548"/>
    <w:rsid w:val="00E347C1"/>
    <w:rsid w:val="00E35999"/>
    <w:rsid w:val="00E360A9"/>
    <w:rsid w:val="00E36525"/>
    <w:rsid w:val="00E40688"/>
    <w:rsid w:val="00E40F00"/>
    <w:rsid w:val="00E4242A"/>
    <w:rsid w:val="00E428B9"/>
    <w:rsid w:val="00E428FA"/>
    <w:rsid w:val="00E42A8D"/>
    <w:rsid w:val="00E437EC"/>
    <w:rsid w:val="00E45E9A"/>
    <w:rsid w:val="00E47019"/>
    <w:rsid w:val="00E50368"/>
    <w:rsid w:val="00E5063C"/>
    <w:rsid w:val="00E50717"/>
    <w:rsid w:val="00E50A97"/>
    <w:rsid w:val="00E51999"/>
    <w:rsid w:val="00E52EAC"/>
    <w:rsid w:val="00E5302C"/>
    <w:rsid w:val="00E55275"/>
    <w:rsid w:val="00E555BB"/>
    <w:rsid w:val="00E55DF7"/>
    <w:rsid w:val="00E56776"/>
    <w:rsid w:val="00E57B91"/>
    <w:rsid w:val="00E6164E"/>
    <w:rsid w:val="00E63C3F"/>
    <w:rsid w:val="00E6486A"/>
    <w:rsid w:val="00E67971"/>
    <w:rsid w:val="00E73335"/>
    <w:rsid w:val="00E74E8F"/>
    <w:rsid w:val="00E763B6"/>
    <w:rsid w:val="00E7756D"/>
    <w:rsid w:val="00E77C08"/>
    <w:rsid w:val="00E77DE4"/>
    <w:rsid w:val="00E80A74"/>
    <w:rsid w:val="00E828BC"/>
    <w:rsid w:val="00E835F5"/>
    <w:rsid w:val="00E84878"/>
    <w:rsid w:val="00E84B37"/>
    <w:rsid w:val="00E84B4D"/>
    <w:rsid w:val="00E85981"/>
    <w:rsid w:val="00E866AE"/>
    <w:rsid w:val="00E86F2E"/>
    <w:rsid w:val="00E87EF1"/>
    <w:rsid w:val="00E901B3"/>
    <w:rsid w:val="00E90906"/>
    <w:rsid w:val="00E90A33"/>
    <w:rsid w:val="00E91504"/>
    <w:rsid w:val="00E91B11"/>
    <w:rsid w:val="00E921DE"/>
    <w:rsid w:val="00E9257C"/>
    <w:rsid w:val="00E932BF"/>
    <w:rsid w:val="00E93431"/>
    <w:rsid w:val="00E94839"/>
    <w:rsid w:val="00E95794"/>
    <w:rsid w:val="00E9622F"/>
    <w:rsid w:val="00E9721D"/>
    <w:rsid w:val="00EA38E9"/>
    <w:rsid w:val="00EA45B7"/>
    <w:rsid w:val="00EA5729"/>
    <w:rsid w:val="00EB1C97"/>
    <w:rsid w:val="00EB3334"/>
    <w:rsid w:val="00EB33B9"/>
    <w:rsid w:val="00EB3C5F"/>
    <w:rsid w:val="00EB4CA9"/>
    <w:rsid w:val="00EB51E5"/>
    <w:rsid w:val="00EC1093"/>
    <w:rsid w:val="00EC18A3"/>
    <w:rsid w:val="00EC290F"/>
    <w:rsid w:val="00EC5DCB"/>
    <w:rsid w:val="00EC7384"/>
    <w:rsid w:val="00ED0F35"/>
    <w:rsid w:val="00ED1BE4"/>
    <w:rsid w:val="00ED350D"/>
    <w:rsid w:val="00ED3A25"/>
    <w:rsid w:val="00ED48C6"/>
    <w:rsid w:val="00ED589F"/>
    <w:rsid w:val="00ED74B4"/>
    <w:rsid w:val="00ED7A00"/>
    <w:rsid w:val="00EE1788"/>
    <w:rsid w:val="00EE1EB0"/>
    <w:rsid w:val="00EE465B"/>
    <w:rsid w:val="00EE75B0"/>
    <w:rsid w:val="00EF00B6"/>
    <w:rsid w:val="00EF0502"/>
    <w:rsid w:val="00EF0B9F"/>
    <w:rsid w:val="00EF1BFA"/>
    <w:rsid w:val="00EF28E1"/>
    <w:rsid w:val="00EF318A"/>
    <w:rsid w:val="00EF3A0E"/>
    <w:rsid w:val="00EF472F"/>
    <w:rsid w:val="00EF60F7"/>
    <w:rsid w:val="00EF730E"/>
    <w:rsid w:val="00EF7A07"/>
    <w:rsid w:val="00F008AF"/>
    <w:rsid w:val="00F031E3"/>
    <w:rsid w:val="00F032B9"/>
    <w:rsid w:val="00F0506A"/>
    <w:rsid w:val="00F06598"/>
    <w:rsid w:val="00F073B4"/>
    <w:rsid w:val="00F11F70"/>
    <w:rsid w:val="00F126F2"/>
    <w:rsid w:val="00F12AAF"/>
    <w:rsid w:val="00F1346F"/>
    <w:rsid w:val="00F1693D"/>
    <w:rsid w:val="00F17826"/>
    <w:rsid w:val="00F26B88"/>
    <w:rsid w:val="00F27B7B"/>
    <w:rsid w:val="00F30760"/>
    <w:rsid w:val="00F3445C"/>
    <w:rsid w:val="00F366DA"/>
    <w:rsid w:val="00F36E18"/>
    <w:rsid w:val="00F40725"/>
    <w:rsid w:val="00F40FA5"/>
    <w:rsid w:val="00F423AC"/>
    <w:rsid w:val="00F450B3"/>
    <w:rsid w:val="00F45F20"/>
    <w:rsid w:val="00F46116"/>
    <w:rsid w:val="00F4664F"/>
    <w:rsid w:val="00F46C8A"/>
    <w:rsid w:val="00F47653"/>
    <w:rsid w:val="00F47E1D"/>
    <w:rsid w:val="00F514E9"/>
    <w:rsid w:val="00F51DA3"/>
    <w:rsid w:val="00F52006"/>
    <w:rsid w:val="00F52AD8"/>
    <w:rsid w:val="00F53C0E"/>
    <w:rsid w:val="00F53F4B"/>
    <w:rsid w:val="00F54EEF"/>
    <w:rsid w:val="00F55463"/>
    <w:rsid w:val="00F55E4C"/>
    <w:rsid w:val="00F56DA4"/>
    <w:rsid w:val="00F57326"/>
    <w:rsid w:val="00F5755B"/>
    <w:rsid w:val="00F57F5B"/>
    <w:rsid w:val="00F608AC"/>
    <w:rsid w:val="00F60FC0"/>
    <w:rsid w:val="00F614CA"/>
    <w:rsid w:val="00F615BA"/>
    <w:rsid w:val="00F62982"/>
    <w:rsid w:val="00F64561"/>
    <w:rsid w:val="00F655D5"/>
    <w:rsid w:val="00F65994"/>
    <w:rsid w:val="00F65B5B"/>
    <w:rsid w:val="00F66020"/>
    <w:rsid w:val="00F6720C"/>
    <w:rsid w:val="00F71813"/>
    <w:rsid w:val="00F72C21"/>
    <w:rsid w:val="00F73029"/>
    <w:rsid w:val="00F74C3A"/>
    <w:rsid w:val="00F77D75"/>
    <w:rsid w:val="00F80824"/>
    <w:rsid w:val="00F80C9C"/>
    <w:rsid w:val="00F81C08"/>
    <w:rsid w:val="00F81E60"/>
    <w:rsid w:val="00F82135"/>
    <w:rsid w:val="00F844A6"/>
    <w:rsid w:val="00F84504"/>
    <w:rsid w:val="00F85879"/>
    <w:rsid w:val="00F85EAA"/>
    <w:rsid w:val="00F8638B"/>
    <w:rsid w:val="00F87D39"/>
    <w:rsid w:val="00F9080B"/>
    <w:rsid w:val="00F9107E"/>
    <w:rsid w:val="00F9153A"/>
    <w:rsid w:val="00F91748"/>
    <w:rsid w:val="00F91CB2"/>
    <w:rsid w:val="00F936BE"/>
    <w:rsid w:val="00F95264"/>
    <w:rsid w:val="00F95D0B"/>
    <w:rsid w:val="00F96E01"/>
    <w:rsid w:val="00FA07FA"/>
    <w:rsid w:val="00FA0B3A"/>
    <w:rsid w:val="00FA1B37"/>
    <w:rsid w:val="00FA1E65"/>
    <w:rsid w:val="00FA2796"/>
    <w:rsid w:val="00FA3AA6"/>
    <w:rsid w:val="00FA4A43"/>
    <w:rsid w:val="00FA4FE5"/>
    <w:rsid w:val="00FA543F"/>
    <w:rsid w:val="00FA5608"/>
    <w:rsid w:val="00FA666E"/>
    <w:rsid w:val="00FA75ED"/>
    <w:rsid w:val="00FB0C09"/>
    <w:rsid w:val="00FB1029"/>
    <w:rsid w:val="00FB4678"/>
    <w:rsid w:val="00FB526F"/>
    <w:rsid w:val="00FB5742"/>
    <w:rsid w:val="00FB78ED"/>
    <w:rsid w:val="00FC04AF"/>
    <w:rsid w:val="00FC15FD"/>
    <w:rsid w:val="00FC1709"/>
    <w:rsid w:val="00FC221C"/>
    <w:rsid w:val="00FC233D"/>
    <w:rsid w:val="00FC281D"/>
    <w:rsid w:val="00FC2FAC"/>
    <w:rsid w:val="00FC443A"/>
    <w:rsid w:val="00FC4B6D"/>
    <w:rsid w:val="00FC5F8F"/>
    <w:rsid w:val="00FD0186"/>
    <w:rsid w:val="00FD01A7"/>
    <w:rsid w:val="00FD0E4C"/>
    <w:rsid w:val="00FD0ECA"/>
    <w:rsid w:val="00FE00DA"/>
    <w:rsid w:val="00FE0A4D"/>
    <w:rsid w:val="00FE1276"/>
    <w:rsid w:val="00FE2530"/>
    <w:rsid w:val="00FE34BD"/>
    <w:rsid w:val="00FE387A"/>
    <w:rsid w:val="00FE4877"/>
    <w:rsid w:val="00FE7A72"/>
    <w:rsid w:val="00FF1914"/>
    <w:rsid w:val="00FF23AE"/>
    <w:rsid w:val="00FF2FB5"/>
    <w:rsid w:val="00FF3224"/>
    <w:rsid w:val="00FF71A6"/>
    <w:rsid w:val="00FF7B50"/>
    <w:rsid w:val="02B649FE"/>
    <w:rsid w:val="07083495"/>
    <w:rsid w:val="09AD446C"/>
    <w:rsid w:val="10A573EB"/>
    <w:rsid w:val="14BF33F9"/>
    <w:rsid w:val="15901688"/>
    <w:rsid w:val="2D45768B"/>
    <w:rsid w:val="313E0D61"/>
    <w:rsid w:val="34CA1209"/>
    <w:rsid w:val="379F49DE"/>
    <w:rsid w:val="37FB3728"/>
    <w:rsid w:val="3A5F012A"/>
    <w:rsid w:val="3E6049EA"/>
    <w:rsid w:val="4216065A"/>
    <w:rsid w:val="43CE2953"/>
    <w:rsid w:val="43E2614B"/>
    <w:rsid w:val="488400FE"/>
    <w:rsid w:val="51BD2AF4"/>
    <w:rsid w:val="562806C7"/>
    <w:rsid w:val="575670C5"/>
    <w:rsid w:val="57A56659"/>
    <w:rsid w:val="61D559EE"/>
    <w:rsid w:val="67905658"/>
    <w:rsid w:val="6C6D53D7"/>
    <w:rsid w:val="6FA842C8"/>
    <w:rsid w:val="707F62B1"/>
    <w:rsid w:val="73131C80"/>
    <w:rsid w:val="757C51AA"/>
    <w:rsid w:val="76D43D06"/>
    <w:rsid w:val="76DE1F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name="index 1"/>
    <w:lsdException w:qFormat="1"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0" w:semiHidden="0" w:name="toc 3"/>
    <w:lsdException w:qFormat="1" w:uiPriority="0" w:semiHidden="0" w:name="toc 4"/>
    <w:lsdException w:uiPriority="39" w:name="toc 5"/>
    <w:lsdException w:uiPriority="39" w:name="toc 6"/>
    <w:lsdException w:uiPriority="39" w:name="toc 7"/>
    <w:lsdException w:uiPriority="39" w:name="toc 8"/>
    <w:lsdException w:uiPriority="39" w:name="toc 9"/>
    <w:lsdException w:qFormat="1" w:uiPriority="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name="Date"/>
    <w:lsdException w:uiPriority="99" w:name="Body Text First Indent"/>
    <w:lsdException w:qFormat="1" w:uiPriority="99" w:name="Body Text First Indent 2"/>
    <w:lsdException w:uiPriority="99" w:name="Note Heading"/>
    <w:lsdException w:qFormat="1" w:uiPriority="0" w:name="Body Text 2"/>
    <w:lsdException w:uiPriority="99" w:name="Body Text 3"/>
    <w:lsdException w:uiPriority="99" w:name="Body Text Indent 2"/>
    <w:lsdException w:qFormat="1"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0" w:name="Document Map"/>
    <w:lsdException w:qFormat="1" w:uiPriority="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43"/>
    <w:qFormat/>
    <w:uiPriority w:val="0"/>
    <w:pPr>
      <w:keepNext/>
      <w:keepLines/>
      <w:spacing w:before="100" w:after="90"/>
      <w:jc w:val="center"/>
      <w:outlineLvl w:val="0"/>
    </w:pPr>
    <w:rPr>
      <w:b/>
      <w:bCs/>
      <w:kern w:val="44"/>
      <w:sz w:val="44"/>
      <w:szCs w:val="44"/>
      <w:lang w:val="zh-CN"/>
    </w:rPr>
  </w:style>
  <w:style w:type="paragraph" w:styleId="5">
    <w:name w:val="heading 2"/>
    <w:basedOn w:val="1"/>
    <w:next w:val="1"/>
    <w:link w:val="44"/>
    <w:qFormat/>
    <w:uiPriority w:val="0"/>
    <w:pPr>
      <w:keepNext/>
      <w:ind w:right="-334" w:firstLine="70" w:firstLineChars="25"/>
      <w:jc w:val="center"/>
      <w:outlineLvl w:val="1"/>
    </w:pPr>
    <w:rPr>
      <w:rFonts w:ascii="宋体" w:hAnsi="宋体"/>
      <w:color w:val="000000"/>
      <w:sz w:val="28"/>
      <w:lang w:val="zh-CN"/>
    </w:rPr>
  </w:style>
  <w:style w:type="paragraph" w:styleId="6">
    <w:name w:val="heading 3"/>
    <w:basedOn w:val="1"/>
    <w:next w:val="1"/>
    <w:link w:val="45"/>
    <w:qFormat/>
    <w:uiPriority w:val="0"/>
    <w:pPr>
      <w:keepNext/>
      <w:widowControl/>
      <w:tabs>
        <w:tab w:val="left" w:pos="907"/>
      </w:tabs>
      <w:spacing w:beforeLines="50" w:afterLines="50"/>
      <w:ind w:left="1814" w:hanging="907"/>
      <w:jc w:val="center"/>
      <w:outlineLvl w:val="2"/>
    </w:pPr>
    <w:rPr>
      <w:rFonts w:ascii="仿宋_GB2312" w:hAnsi="宋体"/>
      <w:b/>
      <w:kern w:val="0"/>
      <w:sz w:val="28"/>
      <w:szCs w:val="20"/>
      <w:lang w:val="zh-CN"/>
    </w:rPr>
  </w:style>
  <w:style w:type="paragraph" w:styleId="7">
    <w:name w:val="heading 4"/>
    <w:basedOn w:val="1"/>
    <w:next w:val="1"/>
    <w:link w:val="46"/>
    <w:qFormat/>
    <w:uiPriority w:val="0"/>
    <w:pPr>
      <w:keepNext/>
      <w:keepLines/>
      <w:spacing w:before="280" w:after="290"/>
      <w:jc w:val="left"/>
      <w:outlineLvl w:val="3"/>
    </w:pPr>
    <w:rPr>
      <w:rFonts w:ascii="Arial" w:hAnsi="Arial" w:eastAsia="黑体"/>
      <w:b/>
      <w:bCs/>
      <w:sz w:val="24"/>
      <w:szCs w:val="28"/>
      <w:lang w:val="zh-CN"/>
    </w:rPr>
  </w:style>
  <w:style w:type="paragraph" w:styleId="8">
    <w:name w:val="heading 5"/>
    <w:basedOn w:val="1"/>
    <w:next w:val="1"/>
    <w:link w:val="47"/>
    <w:qFormat/>
    <w:uiPriority w:val="0"/>
    <w:pPr>
      <w:keepNext/>
      <w:keepLines/>
      <w:spacing w:before="280" w:after="290" w:line="374" w:lineRule="auto"/>
      <w:outlineLvl w:val="4"/>
    </w:pPr>
    <w:rPr>
      <w:b/>
      <w:bCs/>
      <w:sz w:val="28"/>
      <w:szCs w:val="28"/>
      <w:lang w:val="zh-CN"/>
    </w:rPr>
  </w:style>
  <w:style w:type="paragraph" w:styleId="9">
    <w:name w:val="heading 6"/>
    <w:basedOn w:val="1"/>
    <w:next w:val="1"/>
    <w:link w:val="48"/>
    <w:qFormat/>
    <w:uiPriority w:val="0"/>
    <w:pPr>
      <w:spacing w:beforeLines="50" w:afterLines="50" w:line="360" w:lineRule="auto"/>
      <w:ind w:left="3119" w:hanging="3119"/>
      <w:outlineLvl w:val="5"/>
    </w:pPr>
    <w:rPr>
      <w:rFonts w:ascii="宋体" w:hAnsi="宋体"/>
      <w:bCs/>
      <w:sz w:val="24"/>
      <w:lang w:val="zh-CN"/>
    </w:rPr>
  </w:style>
  <w:style w:type="paragraph" w:styleId="10">
    <w:name w:val="heading 7"/>
    <w:basedOn w:val="1"/>
    <w:next w:val="1"/>
    <w:link w:val="49"/>
    <w:qFormat/>
    <w:uiPriority w:val="0"/>
    <w:pPr>
      <w:keepNext/>
      <w:keepLines/>
      <w:spacing w:before="120" w:after="120" w:line="360" w:lineRule="auto"/>
      <w:ind w:left="3686" w:hanging="3686"/>
      <w:outlineLvl w:val="6"/>
    </w:pPr>
    <w:rPr>
      <w:rFonts w:ascii="宋体"/>
      <w:bCs/>
      <w:sz w:val="24"/>
      <w:lang w:val="zh-CN"/>
    </w:rPr>
  </w:style>
  <w:style w:type="paragraph" w:styleId="11">
    <w:name w:val="heading 8"/>
    <w:basedOn w:val="1"/>
    <w:next w:val="1"/>
    <w:link w:val="50"/>
    <w:qFormat/>
    <w:uiPriority w:val="0"/>
    <w:pPr>
      <w:keepNext/>
      <w:keepLines/>
      <w:spacing w:before="240" w:after="64" w:line="319" w:lineRule="auto"/>
      <w:outlineLvl w:val="7"/>
    </w:pPr>
    <w:rPr>
      <w:rFonts w:ascii="Arial" w:hAnsi="Arial" w:eastAsia="黑体"/>
      <w:sz w:val="24"/>
      <w:lang w:val="zh-CN"/>
    </w:rPr>
  </w:style>
  <w:style w:type="paragraph" w:styleId="12">
    <w:name w:val="heading 9"/>
    <w:basedOn w:val="1"/>
    <w:next w:val="1"/>
    <w:link w:val="51"/>
    <w:qFormat/>
    <w:uiPriority w:val="0"/>
    <w:pPr>
      <w:keepNext/>
      <w:keepLines/>
      <w:spacing w:before="240" w:after="64" w:line="319" w:lineRule="auto"/>
      <w:outlineLvl w:val="8"/>
    </w:pPr>
    <w:rPr>
      <w:rFonts w:ascii="Arial" w:hAnsi="Arial" w:eastAsia="黑体"/>
      <w:szCs w:val="21"/>
      <w:lang w:val="zh-CN"/>
    </w:rPr>
  </w:style>
  <w:style w:type="character" w:default="1" w:styleId="39">
    <w:name w:val="Default Paragraph Font"/>
    <w:semiHidden/>
    <w:unhideWhenUsed/>
    <w:qFormat/>
    <w:uiPriority w:val="1"/>
  </w:style>
  <w:style w:type="table" w:default="1" w:styleId="3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57"/>
    <w:unhideWhenUsed/>
    <w:qFormat/>
    <w:uiPriority w:val="0"/>
    <w:pPr>
      <w:spacing w:after="120"/>
    </w:pPr>
    <w:rPr>
      <w:lang w:val="zh-CN"/>
    </w:rPr>
  </w:style>
  <w:style w:type="paragraph" w:styleId="3">
    <w:name w:val="Quote"/>
    <w:basedOn w:val="1"/>
    <w:next w:val="1"/>
    <w:qFormat/>
    <w:uiPriority w:val="29"/>
    <w:pPr>
      <w:spacing w:before="200" w:after="160"/>
      <w:ind w:left="864" w:right="864"/>
      <w:jc w:val="center"/>
    </w:pPr>
    <w:rPr>
      <w:i/>
      <w:iCs/>
      <w:color w:val="3F3F3F"/>
    </w:rPr>
  </w:style>
  <w:style w:type="paragraph" w:styleId="13">
    <w:name w:val="Normal Indent"/>
    <w:basedOn w:val="1"/>
    <w:link w:val="52"/>
    <w:semiHidden/>
    <w:unhideWhenUsed/>
    <w:qFormat/>
    <w:uiPriority w:val="0"/>
    <w:pPr>
      <w:ind w:firstLine="420"/>
    </w:pPr>
    <w:rPr>
      <w:rFonts w:ascii="Calibri" w:hAnsi="Calibri"/>
      <w:szCs w:val="20"/>
      <w:lang w:val="zh-CN"/>
    </w:rPr>
  </w:style>
  <w:style w:type="paragraph" w:styleId="14">
    <w:name w:val="caption"/>
    <w:basedOn w:val="1"/>
    <w:next w:val="1"/>
    <w:qFormat/>
    <w:uiPriority w:val="0"/>
    <w:rPr>
      <w:rFonts w:ascii="Arial" w:hAnsi="Arial" w:eastAsia="黑体" w:cs="Arial"/>
      <w:sz w:val="20"/>
      <w:szCs w:val="20"/>
    </w:rPr>
  </w:style>
  <w:style w:type="paragraph" w:styleId="15">
    <w:name w:val="Document Map"/>
    <w:basedOn w:val="1"/>
    <w:link w:val="79"/>
    <w:semiHidden/>
    <w:unhideWhenUsed/>
    <w:qFormat/>
    <w:uiPriority w:val="0"/>
    <w:rPr>
      <w:rFonts w:ascii="宋体"/>
      <w:sz w:val="18"/>
      <w:szCs w:val="18"/>
      <w:lang w:val="zh-CN"/>
    </w:rPr>
  </w:style>
  <w:style w:type="paragraph" w:styleId="16">
    <w:name w:val="annotation text"/>
    <w:basedOn w:val="1"/>
    <w:link w:val="53"/>
    <w:unhideWhenUsed/>
    <w:qFormat/>
    <w:uiPriority w:val="0"/>
    <w:pPr>
      <w:jc w:val="left"/>
    </w:pPr>
    <w:rPr>
      <w:lang w:val="zh-CN"/>
    </w:rPr>
  </w:style>
  <w:style w:type="paragraph" w:styleId="17">
    <w:name w:val="Body Text Indent"/>
    <w:basedOn w:val="1"/>
    <w:next w:val="18"/>
    <w:link w:val="125"/>
    <w:semiHidden/>
    <w:unhideWhenUsed/>
    <w:qFormat/>
    <w:uiPriority w:val="99"/>
    <w:pPr>
      <w:spacing w:after="120"/>
      <w:ind w:left="420" w:leftChars="200"/>
    </w:pPr>
  </w:style>
  <w:style w:type="paragraph" w:styleId="18">
    <w:name w:val="envelope return"/>
    <w:basedOn w:val="1"/>
    <w:semiHidden/>
    <w:qFormat/>
    <w:uiPriority w:val="0"/>
    <w:pPr>
      <w:snapToGrid w:val="0"/>
    </w:pPr>
    <w:rPr>
      <w:rFonts w:ascii="Arial" w:hAnsi="Arial" w:cs="Arial"/>
    </w:rPr>
  </w:style>
  <w:style w:type="paragraph" w:styleId="19">
    <w:name w:val="toc 3"/>
    <w:basedOn w:val="1"/>
    <w:next w:val="1"/>
    <w:unhideWhenUsed/>
    <w:qFormat/>
    <w:uiPriority w:val="0"/>
    <w:pPr>
      <w:ind w:left="420"/>
      <w:jc w:val="left"/>
    </w:pPr>
    <w:rPr>
      <w:i/>
      <w:iCs/>
      <w:sz w:val="20"/>
      <w:szCs w:val="20"/>
    </w:rPr>
  </w:style>
  <w:style w:type="paragraph" w:styleId="20">
    <w:name w:val="Plain Text"/>
    <w:basedOn w:val="1"/>
    <w:link w:val="61"/>
    <w:semiHidden/>
    <w:unhideWhenUsed/>
    <w:qFormat/>
    <w:uiPriority w:val="0"/>
    <w:rPr>
      <w:rFonts w:ascii="宋体" w:hAnsi="Courier New"/>
      <w:szCs w:val="20"/>
      <w:lang w:val="zh-CN"/>
    </w:rPr>
  </w:style>
  <w:style w:type="paragraph" w:styleId="21">
    <w:name w:val="Date"/>
    <w:basedOn w:val="1"/>
    <w:next w:val="1"/>
    <w:link w:val="59"/>
    <w:semiHidden/>
    <w:unhideWhenUsed/>
    <w:qFormat/>
    <w:uiPriority w:val="0"/>
    <w:pPr>
      <w:ind w:left="100" w:leftChars="2500"/>
    </w:pPr>
    <w:rPr>
      <w:lang w:val="zh-CN"/>
    </w:rPr>
  </w:style>
  <w:style w:type="paragraph" w:styleId="22">
    <w:name w:val="Balloon Text"/>
    <w:basedOn w:val="1"/>
    <w:link w:val="127"/>
    <w:semiHidden/>
    <w:unhideWhenUsed/>
    <w:qFormat/>
    <w:uiPriority w:val="99"/>
    <w:rPr>
      <w:sz w:val="18"/>
      <w:szCs w:val="18"/>
    </w:rPr>
  </w:style>
  <w:style w:type="paragraph" w:styleId="23">
    <w:name w:val="footer"/>
    <w:basedOn w:val="1"/>
    <w:next w:val="24"/>
    <w:link w:val="55"/>
    <w:unhideWhenUsed/>
    <w:qFormat/>
    <w:uiPriority w:val="99"/>
    <w:pPr>
      <w:tabs>
        <w:tab w:val="center" w:pos="4153"/>
        <w:tab w:val="right" w:pos="8306"/>
      </w:tabs>
      <w:snapToGrid w:val="0"/>
      <w:jc w:val="left"/>
    </w:pPr>
    <w:rPr>
      <w:sz w:val="18"/>
      <w:szCs w:val="20"/>
      <w:lang w:val="zh-CN" w:bidi="he-IL"/>
    </w:rPr>
  </w:style>
  <w:style w:type="paragraph" w:customStyle="1" w:styleId="24">
    <w:name w:val="目录 31"/>
    <w:next w:val="1"/>
    <w:qFormat/>
    <w:uiPriority w:val="0"/>
    <w:pPr>
      <w:wordWrap w:val="0"/>
      <w:ind w:left="425"/>
      <w:jc w:val="both"/>
    </w:pPr>
    <w:rPr>
      <w:rFonts w:ascii="Times New Roman" w:hAnsi="Times New Roman" w:eastAsia="宋体" w:cs="Times New Roman"/>
      <w:kern w:val="24"/>
      <w:sz w:val="21"/>
      <w:szCs w:val="24"/>
      <w:lang w:val="en-US" w:eastAsia="zh-CN" w:bidi="ar-SA"/>
    </w:rPr>
  </w:style>
  <w:style w:type="paragraph" w:styleId="25">
    <w:name w:val="header"/>
    <w:basedOn w:val="1"/>
    <w:link w:val="54"/>
    <w:unhideWhenUsed/>
    <w:qFormat/>
    <w:uiPriority w:val="0"/>
    <w:pPr>
      <w:pBdr>
        <w:bottom w:val="single" w:color="auto" w:sz="6" w:space="1"/>
      </w:pBdr>
      <w:tabs>
        <w:tab w:val="center" w:pos="4153"/>
        <w:tab w:val="right" w:pos="8306"/>
      </w:tabs>
      <w:snapToGrid w:val="0"/>
      <w:jc w:val="center"/>
    </w:pPr>
    <w:rPr>
      <w:sz w:val="18"/>
      <w:szCs w:val="18"/>
      <w:lang w:val="zh-CN"/>
    </w:rPr>
  </w:style>
  <w:style w:type="paragraph" w:styleId="26">
    <w:name w:val="toc 1"/>
    <w:basedOn w:val="27"/>
    <w:next w:val="1"/>
    <w:unhideWhenUsed/>
    <w:qFormat/>
    <w:uiPriority w:val="39"/>
    <w:pPr>
      <w:spacing w:before="120" w:after="120" w:line="240" w:lineRule="auto"/>
      <w:ind w:firstLine="0" w:firstLineChars="0"/>
      <w:jc w:val="left"/>
    </w:pPr>
    <w:rPr>
      <w:rFonts w:ascii="Times New Roman" w:hAnsi="Times New Roman" w:cs="Times New Roman"/>
      <w:bCs/>
      <w:caps/>
      <w:sz w:val="20"/>
    </w:rPr>
  </w:style>
  <w:style w:type="paragraph" w:styleId="27">
    <w:name w:val="index 1"/>
    <w:basedOn w:val="1"/>
    <w:next w:val="1"/>
    <w:semiHidden/>
    <w:unhideWhenUsed/>
    <w:qFormat/>
    <w:uiPriority w:val="0"/>
    <w:pPr>
      <w:spacing w:line="310" w:lineRule="exact"/>
      <w:ind w:firstLine="72" w:firstLineChars="30"/>
    </w:pPr>
    <w:rPr>
      <w:rFonts w:ascii="Arial" w:hAnsi="Arial" w:cs="Arial"/>
      <w:b/>
      <w:sz w:val="24"/>
      <w:szCs w:val="20"/>
    </w:rPr>
  </w:style>
  <w:style w:type="paragraph" w:styleId="28">
    <w:name w:val="toc 4"/>
    <w:basedOn w:val="1"/>
    <w:next w:val="1"/>
    <w:unhideWhenUsed/>
    <w:qFormat/>
    <w:uiPriority w:val="0"/>
    <w:pPr>
      <w:tabs>
        <w:tab w:val="right" w:leader="dot" w:pos="8302"/>
      </w:tabs>
      <w:spacing w:line="360" w:lineRule="exact"/>
      <w:ind w:left="629"/>
      <w:jc w:val="left"/>
    </w:pPr>
    <w:rPr>
      <w:sz w:val="18"/>
      <w:szCs w:val="18"/>
    </w:rPr>
  </w:style>
  <w:style w:type="paragraph" w:styleId="29">
    <w:name w:val="Subtitle"/>
    <w:basedOn w:val="1"/>
    <w:link w:val="58"/>
    <w:qFormat/>
    <w:uiPriority w:val="0"/>
    <w:pPr>
      <w:spacing w:before="240" w:after="60" w:line="312" w:lineRule="auto"/>
      <w:jc w:val="center"/>
      <w:outlineLvl w:val="1"/>
    </w:pPr>
    <w:rPr>
      <w:rFonts w:ascii="Arial" w:hAnsi="Arial"/>
      <w:b/>
      <w:bCs/>
      <w:kern w:val="28"/>
      <w:sz w:val="32"/>
      <w:szCs w:val="32"/>
      <w:lang w:val="zh-CN"/>
    </w:rPr>
  </w:style>
  <w:style w:type="paragraph" w:styleId="30">
    <w:name w:val="Body Text Indent 3"/>
    <w:basedOn w:val="1"/>
    <w:link w:val="128"/>
    <w:semiHidden/>
    <w:unhideWhenUsed/>
    <w:qFormat/>
    <w:uiPriority w:val="99"/>
    <w:pPr>
      <w:spacing w:after="120"/>
      <w:ind w:left="420" w:leftChars="200"/>
    </w:pPr>
    <w:rPr>
      <w:sz w:val="16"/>
      <w:szCs w:val="16"/>
    </w:rPr>
  </w:style>
  <w:style w:type="paragraph" w:styleId="31">
    <w:name w:val="toc 2"/>
    <w:basedOn w:val="32"/>
    <w:next w:val="32"/>
    <w:unhideWhenUsed/>
    <w:qFormat/>
    <w:uiPriority w:val="39"/>
    <w:pPr>
      <w:ind w:left="210" w:leftChars="0"/>
      <w:jc w:val="left"/>
    </w:pPr>
    <w:rPr>
      <w:rFonts w:ascii="Times New Roman" w:eastAsia="宋体"/>
      <w:b w:val="0"/>
      <w:bCs w:val="0"/>
      <w:smallCaps/>
      <w:sz w:val="20"/>
    </w:rPr>
  </w:style>
  <w:style w:type="paragraph" w:styleId="32">
    <w:name w:val="index 2"/>
    <w:basedOn w:val="1"/>
    <w:next w:val="1"/>
    <w:unhideWhenUsed/>
    <w:qFormat/>
    <w:uiPriority w:val="0"/>
    <w:pPr>
      <w:ind w:left="420" w:leftChars="200"/>
    </w:pPr>
    <w:rPr>
      <w:rFonts w:ascii="仿宋_GB2312" w:eastAsia="仿宋_GB2312"/>
      <w:b/>
      <w:bCs/>
      <w:sz w:val="30"/>
      <w:szCs w:val="20"/>
    </w:rPr>
  </w:style>
  <w:style w:type="paragraph" w:styleId="33">
    <w:name w:val="Body Text 2"/>
    <w:basedOn w:val="1"/>
    <w:link w:val="60"/>
    <w:semiHidden/>
    <w:unhideWhenUsed/>
    <w:qFormat/>
    <w:uiPriority w:val="0"/>
    <w:pPr>
      <w:spacing w:line="320" w:lineRule="exact"/>
    </w:pPr>
    <w:rPr>
      <w:rFonts w:ascii="楷体_GB2312" w:eastAsia="楷体_GB2312"/>
      <w:color w:val="000000"/>
      <w:sz w:val="24"/>
      <w:szCs w:val="20"/>
      <w:lang w:val="zh-CN"/>
    </w:rPr>
  </w:style>
  <w:style w:type="paragraph" w:styleId="34">
    <w:name w:val="Normal (Web)"/>
    <w:basedOn w:val="1"/>
    <w:unhideWhenUsed/>
    <w:qFormat/>
    <w:uiPriority w:val="0"/>
    <w:pPr>
      <w:widowControl/>
      <w:spacing w:before="100" w:beforeAutospacing="1" w:after="100" w:afterAutospacing="1"/>
      <w:ind w:firstLine="480"/>
      <w:jc w:val="left"/>
    </w:pPr>
    <w:rPr>
      <w:rFonts w:ascii="宋体" w:hAnsi="宋体"/>
      <w:kern w:val="0"/>
      <w:sz w:val="24"/>
    </w:rPr>
  </w:style>
  <w:style w:type="paragraph" w:styleId="35">
    <w:name w:val="Title"/>
    <w:basedOn w:val="1"/>
    <w:link w:val="56"/>
    <w:qFormat/>
    <w:uiPriority w:val="0"/>
    <w:pPr>
      <w:spacing w:before="240" w:after="60"/>
      <w:jc w:val="center"/>
      <w:outlineLvl w:val="0"/>
    </w:pPr>
    <w:rPr>
      <w:rFonts w:ascii="Arial" w:hAnsi="Arial"/>
      <w:b/>
      <w:bCs/>
      <w:sz w:val="32"/>
      <w:szCs w:val="32"/>
      <w:lang w:val="zh-CN"/>
    </w:rPr>
  </w:style>
  <w:style w:type="paragraph" w:styleId="36">
    <w:name w:val="Body Text First Indent 2"/>
    <w:basedOn w:val="17"/>
    <w:next w:val="1"/>
    <w:link w:val="126"/>
    <w:semiHidden/>
    <w:unhideWhenUsed/>
    <w:qFormat/>
    <w:uiPriority w:val="99"/>
    <w:pPr>
      <w:ind w:firstLine="420" w:firstLineChars="200"/>
    </w:pPr>
  </w:style>
  <w:style w:type="table" w:styleId="38">
    <w:name w:val="Table Grid"/>
    <w:basedOn w:val="37"/>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0">
    <w:name w:val="page number"/>
    <w:basedOn w:val="39"/>
    <w:semiHidden/>
    <w:qFormat/>
    <w:uiPriority w:val="0"/>
  </w:style>
  <w:style w:type="character" w:styleId="41">
    <w:name w:val="FollowedHyperlink"/>
    <w:semiHidden/>
    <w:unhideWhenUsed/>
    <w:qFormat/>
    <w:uiPriority w:val="99"/>
    <w:rPr>
      <w:color w:val="800080"/>
      <w:u w:val="single"/>
    </w:rPr>
  </w:style>
  <w:style w:type="character" w:styleId="42">
    <w:name w:val="Hyperlink"/>
    <w:unhideWhenUsed/>
    <w:qFormat/>
    <w:uiPriority w:val="99"/>
    <w:rPr>
      <w:color w:val="0000FF"/>
      <w:u w:val="single"/>
    </w:rPr>
  </w:style>
  <w:style w:type="character" w:customStyle="1" w:styleId="43">
    <w:name w:val="标题 1 Char"/>
    <w:link w:val="4"/>
    <w:qFormat/>
    <w:uiPriority w:val="0"/>
    <w:rPr>
      <w:rFonts w:ascii="Times New Roman" w:hAnsi="Times New Roman"/>
      <w:b/>
      <w:bCs/>
      <w:kern w:val="44"/>
      <w:sz w:val="44"/>
      <w:szCs w:val="44"/>
      <w:lang w:val="zh-CN"/>
    </w:rPr>
  </w:style>
  <w:style w:type="character" w:customStyle="1" w:styleId="44">
    <w:name w:val="标题 2 Char"/>
    <w:link w:val="5"/>
    <w:semiHidden/>
    <w:qFormat/>
    <w:uiPriority w:val="0"/>
    <w:rPr>
      <w:rFonts w:ascii="宋体" w:hAnsi="宋体" w:cs="宋体"/>
      <w:color w:val="000000"/>
      <w:kern w:val="2"/>
      <w:sz w:val="28"/>
      <w:szCs w:val="24"/>
    </w:rPr>
  </w:style>
  <w:style w:type="character" w:customStyle="1" w:styleId="45">
    <w:name w:val="标题 3 Char"/>
    <w:link w:val="6"/>
    <w:qFormat/>
    <w:uiPriority w:val="0"/>
    <w:rPr>
      <w:rFonts w:ascii="仿宋_GB2312" w:hAnsi="宋体"/>
      <w:b/>
      <w:sz w:val="28"/>
      <w:lang w:val="zh-CN" w:eastAsia="zh-CN"/>
    </w:rPr>
  </w:style>
  <w:style w:type="character" w:customStyle="1" w:styleId="46">
    <w:name w:val="标题 4 Char"/>
    <w:link w:val="7"/>
    <w:semiHidden/>
    <w:qFormat/>
    <w:uiPriority w:val="0"/>
    <w:rPr>
      <w:rFonts w:ascii="Arial" w:hAnsi="Arial" w:eastAsia="黑体"/>
      <w:b/>
      <w:bCs/>
      <w:kern w:val="2"/>
      <w:sz w:val="24"/>
      <w:szCs w:val="28"/>
    </w:rPr>
  </w:style>
  <w:style w:type="character" w:customStyle="1" w:styleId="47">
    <w:name w:val="标题 5 Char"/>
    <w:link w:val="8"/>
    <w:semiHidden/>
    <w:qFormat/>
    <w:uiPriority w:val="0"/>
    <w:rPr>
      <w:rFonts w:ascii="Times New Roman" w:hAnsi="Times New Roman"/>
      <w:b/>
      <w:bCs/>
      <w:kern w:val="2"/>
      <w:sz w:val="28"/>
      <w:szCs w:val="28"/>
    </w:rPr>
  </w:style>
  <w:style w:type="character" w:customStyle="1" w:styleId="48">
    <w:name w:val="标题 6 Char"/>
    <w:link w:val="9"/>
    <w:semiHidden/>
    <w:qFormat/>
    <w:uiPriority w:val="0"/>
    <w:rPr>
      <w:rFonts w:ascii="宋体" w:hAnsi="宋体" w:cs="宋体"/>
      <w:bCs/>
      <w:kern w:val="2"/>
      <w:sz w:val="24"/>
      <w:szCs w:val="24"/>
    </w:rPr>
  </w:style>
  <w:style w:type="character" w:customStyle="1" w:styleId="49">
    <w:name w:val="标题 7 Char"/>
    <w:link w:val="10"/>
    <w:semiHidden/>
    <w:qFormat/>
    <w:uiPriority w:val="0"/>
    <w:rPr>
      <w:rFonts w:ascii="宋体" w:hAnsi="Times New Roman"/>
      <w:bCs/>
      <w:kern w:val="2"/>
      <w:sz w:val="24"/>
      <w:szCs w:val="24"/>
    </w:rPr>
  </w:style>
  <w:style w:type="character" w:customStyle="1" w:styleId="50">
    <w:name w:val="标题 8 Char"/>
    <w:link w:val="11"/>
    <w:semiHidden/>
    <w:qFormat/>
    <w:uiPriority w:val="0"/>
    <w:rPr>
      <w:rFonts w:ascii="Arial" w:hAnsi="Arial" w:eastAsia="黑体"/>
      <w:kern w:val="2"/>
      <w:sz w:val="24"/>
      <w:szCs w:val="24"/>
    </w:rPr>
  </w:style>
  <w:style w:type="character" w:customStyle="1" w:styleId="51">
    <w:name w:val="标题 9 Char"/>
    <w:link w:val="12"/>
    <w:semiHidden/>
    <w:qFormat/>
    <w:uiPriority w:val="0"/>
    <w:rPr>
      <w:rFonts w:ascii="Arial" w:hAnsi="Arial" w:eastAsia="黑体"/>
      <w:kern w:val="2"/>
      <w:sz w:val="21"/>
      <w:szCs w:val="21"/>
    </w:rPr>
  </w:style>
  <w:style w:type="character" w:customStyle="1" w:styleId="52">
    <w:name w:val="正文缩进 Char"/>
    <w:link w:val="13"/>
    <w:semiHidden/>
    <w:qFormat/>
    <w:locked/>
    <w:uiPriority w:val="0"/>
    <w:rPr>
      <w:kern w:val="2"/>
      <w:sz w:val="21"/>
    </w:rPr>
  </w:style>
  <w:style w:type="character" w:customStyle="1" w:styleId="53">
    <w:name w:val="批注文字 Char"/>
    <w:link w:val="16"/>
    <w:qFormat/>
    <w:uiPriority w:val="0"/>
    <w:rPr>
      <w:rFonts w:ascii="Times New Roman" w:hAnsi="Times New Roman"/>
      <w:kern w:val="2"/>
      <w:sz w:val="21"/>
      <w:szCs w:val="24"/>
    </w:rPr>
  </w:style>
  <w:style w:type="character" w:customStyle="1" w:styleId="54">
    <w:name w:val="页眉 Char"/>
    <w:link w:val="25"/>
    <w:qFormat/>
    <w:uiPriority w:val="0"/>
    <w:rPr>
      <w:rFonts w:ascii="Times New Roman" w:hAnsi="Times New Roman"/>
      <w:kern w:val="2"/>
      <w:sz w:val="18"/>
      <w:szCs w:val="18"/>
    </w:rPr>
  </w:style>
  <w:style w:type="character" w:customStyle="1" w:styleId="55">
    <w:name w:val="页脚 Char"/>
    <w:link w:val="23"/>
    <w:qFormat/>
    <w:uiPriority w:val="99"/>
    <w:rPr>
      <w:rFonts w:ascii="Times New Roman" w:hAnsi="Times New Roman"/>
      <w:kern w:val="2"/>
      <w:sz w:val="18"/>
      <w:lang w:bidi="he-IL"/>
    </w:rPr>
  </w:style>
  <w:style w:type="character" w:customStyle="1" w:styleId="56">
    <w:name w:val="标题 Char"/>
    <w:link w:val="35"/>
    <w:qFormat/>
    <w:uiPriority w:val="0"/>
    <w:rPr>
      <w:rFonts w:ascii="Arial" w:hAnsi="Arial" w:cs="Arial"/>
      <w:b/>
      <w:bCs/>
      <w:kern w:val="2"/>
      <w:sz w:val="32"/>
      <w:szCs w:val="32"/>
    </w:rPr>
  </w:style>
  <w:style w:type="character" w:customStyle="1" w:styleId="57">
    <w:name w:val="正文文本 Char"/>
    <w:link w:val="2"/>
    <w:qFormat/>
    <w:uiPriority w:val="0"/>
    <w:rPr>
      <w:rFonts w:ascii="Times New Roman" w:hAnsi="Times New Roman"/>
      <w:kern w:val="2"/>
      <w:sz w:val="21"/>
      <w:szCs w:val="24"/>
    </w:rPr>
  </w:style>
  <w:style w:type="character" w:customStyle="1" w:styleId="58">
    <w:name w:val="副标题 Char"/>
    <w:link w:val="29"/>
    <w:qFormat/>
    <w:uiPriority w:val="0"/>
    <w:rPr>
      <w:rFonts w:ascii="Arial" w:hAnsi="Arial" w:cs="Arial"/>
      <w:b/>
      <w:bCs/>
      <w:kern w:val="28"/>
      <w:sz w:val="32"/>
      <w:szCs w:val="32"/>
    </w:rPr>
  </w:style>
  <w:style w:type="character" w:customStyle="1" w:styleId="59">
    <w:name w:val="日期 Char"/>
    <w:link w:val="21"/>
    <w:semiHidden/>
    <w:qFormat/>
    <w:uiPriority w:val="0"/>
    <w:rPr>
      <w:rFonts w:ascii="Times New Roman" w:hAnsi="Times New Roman"/>
      <w:kern w:val="2"/>
      <w:sz w:val="21"/>
      <w:szCs w:val="24"/>
    </w:rPr>
  </w:style>
  <w:style w:type="character" w:customStyle="1" w:styleId="60">
    <w:name w:val="正文文本 2 Char"/>
    <w:link w:val="33"/>
    <w:semiHidden/>
    <w:qFormat/>
    <w:uiPriority w:val="0"/>
    <w:rPr>
      <w:rFonts w:ascii="楷体_GB2312" w:hAnsi="Times New Roman" w:eastAsia="楷体_GB2312"/>
      <w:color w:val="000000"/>
      <w:kern w:val="2"/>
      <w:sz w:val="24"/>
    </w:rPr>
  </w:style>
  <w:style w:type="character" w:customStyle="1" w:styleId="61">
    <w:name w:val="纯文本 Char"/>
    <w:link w:val="20"/>
    <w:semiHidden/>
    <w:qFormat/>
    <w:uiPriority w:val="0"/>
    <w:rPr>
      <w:rFonts w:ascii="宋体" w:hAnsi="Courier New"/>
      <w:kern w:val="2"/>
      <w:sz w:val="21"/>
    </w:rPr>
  </w:style>
  <w:style w:type="paragraph" w:styleId="62">
    <w:name w:val="List Paragraph"/>
    <w:basedOn w:val="1"/>
    <w:qFormat/>
    <w:uiPriority w:val="99"/>
    <w:pPr>
      <w:ind w:firstLine="420" w:firstLineChars="200"/>
    </w:pPr>
    <w:rPr>
      <w:rFonts w:ascii="Calibri" w:hAnsi="Calibri"/>
      <w:szCs w:val="22"/>
    </w:rPr>
  </w:style>
  <w:style w:type="character" w:customStyle="1" w:styleId="63">
    <w:name w:val="无间隔 Char"/>
    <w:link w:val="64"/>
    <w:semiHidden/>
    <w:qFormat/>
    <w:locked/>
    <w:uiPriority w:val="0"/>
    <w:rPr>
      <w:sz w:val="22"/>
      <w:szCs w:val="22"/>
      <w:lang w:val="en-US" w:eastAsia="zh-CN" w:bidi="ar-SA"/>
    </w:rPr>
  </w:style>
  <w:style w:type="paragraph" w:customStyle="1" w:styleId="64">
    <w:name w:val="无间隔1"/>
    <w:link w:val="63"/>
    <w:semiHidden/>
    <w:qFormat/>
    <w:uiPriority w:val="0"/>
    <w:rPr>
      <w:rFonts w:ascii="Calibri" w:hAnsi="Calibri" w:eastAsia="宋体" w:cs="Times New Roman"/>
      <w:sz w:val="22"/>
      <w:szCs w:val="22"/>
      <w:lang w:val="en-US" w:eastAsia="zh-CN" w:bidi="ar-SA"/>
    </w:rPr>
  </w:style>
  <w:style w:type="character" w:customStyle="1" w:styleId="65">
    <w:name w:val="正文缩进2格 Char Char"/>
    <w:link w:val="66"/>
    <w:semiHidden/>
    <w:qFormat/>
    <w:locked/>
    <w:uiPriority w:val="0"/>
    <w:rPr>
      <w:rFonts w:ascii="仿宋_GB2312" w:hAnsi="宋体" w:eastAsia="仿宋_GB2312"/>
      <w:kern w:val="2"/>
      <w:sz w:val="31"/>
      <w:szCs w:val="28"/>
    </w:rPr>
  </w:style>
  <w:style w:type="paragraph" w:customStyle="1" w:styleId="66">
    <w:name w:val="正文缩进2格"/>
    <w:basedOn w:val="1"/>
    <w:link w:val="65"/>
    <w:semiHidden/>
    <w:qFormat/>
    <w:uiPriority w:val="0"/>
    <w:pPr>
      <w:spacing w:line="600" w:lineRule="exact"/>
      <w:ind w:firstLine="639" w:firstLineChars="206"/>
    </w:pPr>
    <w:rPr>
      <w:rFonts w:ascii="仿宋_GB2312" w:hAnsi="宋体" w:eastAsia="仿宋_GB2312"/>
      <w:sz w:val="31"/>
      <w:szCs w:val="28"/>
      <w:lang w:val="zh-CN"/>
    </w:rPr>
  </w:style>
  <w:style w:type="paragraph" w:customStyle="1" w:styleId="67">
    <w:name w:val="p18"/>
    <w:basedOn w:val="1"/>
    <w:semiHidden/>
    <w:qFormat/>
    <w:uiPriority w:val="0"/>
    <w:pPr>
      <w:widowControl/>
      <w:spacing w:line="365" w:lineRule="atLeast"/>
      <w:ind w:left="1"/>
    </w:pPr>
    <w:rPr>
      <w:kern w:val="0"/>
      <w:sz w:val="20"/>
      <w:szCs w:val="20"/>
    </w:rPr>
  </w:style>
  <w:style w:type="paragraph" w:customStyle="1" w:styleId="68">
    <w:name w:val="题注4"/>
    <w:basedOn w:val="1"/>
    <w:next w:val="14"/>
    <w:semiHidden/>
    <w:qFormat/>
    <w:uiPriority w:val="0"/>
    <w:pPr>
      <w:ind w:left="-132" w:leftChars="-64" w:right="-105" w:rightChars="-50" w:hanging="2"/>
      <w:jc w:val="center"/>
    </w:pPr>
    <w:rPr>
      <w:b/>
      <w:color w:val="FF0000"/>
      <w:szCs w:val="21"/>
      <w:lang w:val="en-GB"/>
    </w:rPr>
  </w:style>
  <w:style w:type="paragraph" w:customStyle="1" w:styleId="69">
    <w:name w:val="Default Paragraph Font Para Char Char Char Char Char Char"/>
    <w:basedOn w:val="1"/>
    <w:semiHidden/>
    <w:qFormat/>
    <w:uiPriority w:val="0"/>
    <w:pPr>
      <w:widowControl/>
      <w:spacing w:after="160" w:line="240" w:lineRule="exact"/>
      <w:jc w:val="left"/>
    </w:pPr>
    <w:rPr>
      <w:rFonts w:ascii="Verdana" w:hAnsi="Verdana"/>
      <w:kern w:val="0"/>
      <w:sz w:val="20"/>
      <w:szCs w:val="20"/>
      <w:lang w:eastAsia="en-US"/>
    </w:rPr>
  </w:style>
  <w:style w:type="paragraph" w:customStyle="1" w:styleId="70">
    <w:name w:val="Char2"/>
    <w:basedOn w:val="1"/>
    <w:semiHidden/>
    <w:qFormat/>
    <w:uiPriority w:val="0"/>
    <w:pPr>
      <w:widowControl/>
      <w:spacing w:after="160" w:line="240" w:lineRule="exact"/>
      <w:jc w:val="left"/>
    </w:pPr>
    <w:rPr>
      <w:rFonts w:ascii="Verdana" w:hAnsi="Verdana" w:eastAsia="MS Mincho" w:cs="Verdana"/>
      <w:kern w:val="0"/>
      <w:sz w:val="20"/>
      <w:szCs w:val="20"/>
      <w:lang w:eastAsia="en-US" w:bidi="kn-IN"/>
    </w:rPr>
  </w:style>
  <w:style w:type="paragraph" w:customStyle="1" w:styleId="71">
    <w:name w:val="样式1"/>
    <w:basedOn w:val="7"/>
    <w:semiHidden/>
    <w:qFormat/>
    <w:uiPriority w:val="0"/>
    <w:pPr>
      <w:spacing w:line="300" w:lineRule="exact"/>
    </w:pPr>
    <w:rPr>
      <w:rFonts w:ascii="Times New Roman" w:hAnsi="Times New Roman" w:eastAsia="宋体"/>
    </w:rPr>
  </w:style>
  <w:style w:type="paragraph" w:customStyle="1" w:styleId="72">
    <w:name w:val="标题2"/>
    <w:qFormat/>
    <w:uiPriority w:val="0"/>
    <w:pPr>
      <w:widowControl w:val="0"/>
      <w:spacing w:beforeLines="100" w:afterLines="100"/>
      <w:jc w:val="center"/>
      <w:outlineLvl w:val="1"/>
    </w:pPr>
    <w:rPr>
      <w:rFonts w:ascii="黑体" w:hAnsi="黑体" w:eastAsia="黑体" w:cs="Times New Roman"/>
      <w:color w:val="000000"/>
      <w:kern w:val="2"/>
      <w:sz w:val="44"/>
      <w:szCs w:val="44"/>
      <w:lang w:val="en-US" w:eastAsia="zh-CN" w:bidi="ar-SA"/>
    </w:rPr>
  </w:style>
  <w:style w:type="paragraph" w:customStyle="1" w:styleId="73">
    <w:name w:val="Char Char2 Char"/>
    <w:basedOn w:val="1"/>
    <w:semiHidden/>
    <w:qFormat/>
    <w:uiPriority w:val="0"/>
    <w:rPr>
      <w:rFonts w:ascii="宋体" w:hAnsi="宋体"/>
      <w:b/>
      <w:sz w:val="28"/>
      <w:szCs w:val="28"/>
    </w:rPr>
  </w:style>
  <w:style w:type="paragraph" w:customStyle="1" w:styleId="74">
    <w:name w:val="表头"/>
    <w:basedOn w:val="14"/>
    <w:semiHidden/>
    <w:qFormat/>
    <w:uiPriority w:val="0"/>
    <w:pPr>
      <w:keepNext/>
      <w:keepLines/>
      <w:spacing w:before="120" w:after="120" w:line="300" w:lineRule="auto"/>
      <w:jc w:val="center"/>
    </w:pPr>
    <w:rPr>
      <w:sz w:val="21"/>
      <w:szCs w:val="21"/>
    </w:rPr>
  </w:style>
  <w:style w:type="paragraph" w:customStyle="1" w:styleId="75">
    <w:name w:val="1 Char Char Char Char"/>
    <w:basedOn w:val="1"/>
    <w:semiHidden/>
    <w:qFormat/>
    <w:uiPriority w:val="0"/>
    <w:pPr>
      <w:spacing w:after="160" w:line="240" w:lineRule="exact"/>
    </w:pPr>
  </w:style>
  <w:style w:type="paragraph" w:customStyle="1" w:styleId="76">
    <w:name w:val="样式 标题 3 + 段前: 0.5 行 段后: 0.5 行"/>
    <w:basedOn w:val="6"/>
    <w:qFormat/>
    <w:uiPriority w:val="0"/>
    <w:pPr>
      <w:keepNext w:val="0"/>
      <w:spacing w:beforeLines="0" w:afterLines="0"/>
      <w:ind w:left="907"/>
      <w:jc w:val="left"/>
    </w:pPr>
    <w:rPr>
      <w:bCs/>
      <w:sz w:val="21"/>
    </w:rPr>
  </w:style>
  <w:style w:type="paragraph" w:customStyle="1" w:styleId="77">
    <w:name w:val="Default Paragraph Font Para Char"/>
    <w:basedOn w:val="1"/>
    <w:semiHidden/>
    <w:qFormat/>
    <w:uiPriority w:val="0"/>
    <w:pPr>
      <w:widowControl/>
      <w:spacing w:after="160" w:line="240" w:lineRule="exact"/>
      <w:jc w:val="left"/>
    </w:pPr>
    <w:rPr>
      <w:rFonts w:ascii="Verdana" w:hAnsi="Verdana"/>
      <w:kern w:val="0"/>
      <w:sz w:val="20"/>
      <w:szCs w:val="20"/>
      <w:lang w:eastAsia="en-US"/>
    </w:rPr>
  </w:style>
  <w:style w:type="paragraph" w:customStyle="1" w:styleId="78">
    <w:name w:val="p0"/>
    <w:basedOn w:val="1"/>
    <w:semiHidden/>
    <w:qFormat/>
    <w:uiPriority w:val="0"/>
    <w:pPr>
      <w:widowControl/>
    </w:pPr>
    <w:rPr>
      <w:kern w:val="0"/>
      <w:szCs w:val="21"/>
    </w:rPr>
  </w:style>
  <w:style w:type="character" w:customStyle="1" w:styleId="79">
    <w:name w:val="文档结构图 Char"/>
    <w:link w:val="15"/>
    <w:semiHidden/>
    <w:qFormat/>
    <w:uiPriority w:val="0"/>
    <w:rPr>
      <w:rFonts w:ascii="宋体" w:hAnsi="Times New Roman"/>
      <w:kern w:val="2"/>
      <w:sz w:val="18"/>
      <w:szCs w:val="18"/>
    </w:rPr>
  </w:style>
  <w:style w:type="paragraph" w:customStyle="1" w:styleId="80">
    <w:name w:val="Char1"/>
    <w:basedOn w:val="15"/>
    <w:semiHidden/>
    <w:qFormat/>
    <w:uiPriority w:val="0"/>
    <w:pPr>
      <w:shd w:val="clear" w:color="auto" w:fill="000080"/>
    </w:pPr>
    <w:rPr>
      <w:rFonts w:ascii="Times New Roman"/>
      <w:kern w:val="0"/>
      <w:sz w:val="21"/>
      <w:szCs w:val="20"/>
    </w:rPr>
  </w:style>
  <w:style w:type="paragraph" w:customStyle="1" w:styleId="81">
    <w:name w:val="Char Char Char Char Char"/>
    <w:basedOn w:val="1"/>
    <w:semiHidden/>
    <w:qFormat/>
    <w:uiPriority w:val="0"/>
    <w:pPr>
      <w:widowControl/>
      <w:tabs>
        <w:tab w:val="left" w:pos="1360"/>
      </w:tabs>
      <w:ind w:left="1360" w:hanging="720"/>
      <w:jc w:val="left"/>
    </w:pPr>
    <w:rPr>
      <w:rFonts w:ascii="宋体" w:hAnsi="宋体" w:cs="宋体"/>
      <w:kern w:val="0"/>
      <w:sz w:val="24"/>
    </w:rPr>
  </w:style>
  <w:style w:type="paragraph" w:customStyle="1" w:styleId="82">
    <w:name w:val="标题4"/>
    <w:qFormat/>
    <w:uiPriority w:val="0"/>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83">
    <w:name w:val="Char Char Char Char Char Char Char"/>
    <w:basedOn w:val="1"/>
    <w:semiHidden/>
    <w:qFormat/>
    <w:uiPriority w:val="0"/>
    <w:pPr>
      <w:widowControl/>
      <w:spacing w:after="160" w:line="240" w:lineRule="exact"/>
      <w:jc w:val="left"/>
    </w:pPr>
    <w:rPr>
      <w:rFonts w:ascii="宋体" w:hAnsi="宋体"/>
      <w:b/>
      <w:sz w:val="24"/>
      <w:szCs w:val="20"/>
    </w:rPr>
  </w:style>
  <w:style w:type="paragraph" w:customStyle="1" w:styleId="84">
    <w:name w:val="正文1"/>
    <w:qFormat/>
    <w:uiPriority w:val="99"/>
    <w:pPr>
      <w:widowControl w:val="0"/>
      <w:spacing w:line="360" w:lineRule="auto"/>
      <w:jc w:val="both"/>
    </w:pPr>
    <w:rPr>
      <w:rFonts w:ascii="宋体" w:hAnsi="宋体" w:eastAsia="宋体" w:cs="宋体"/>
      <w:sz w:val="21"/>
      <w:szCs w:val="21"/>
      <w:lang w:val="en-US" w:eastAsia="zh-CN" w:bidi="ar-SA"/>
    </w:rPr>
  </w:style>
  <w:style w:type="paragraph" w:customStyle="1" w:styleId="85">
    <w:name w:val="Char"/>
    <w:basedOn w:val="1"/>
    <w:semiHidden/>
    <w:qFormat/>
    <w:uiPriority w:val="0"/>
    <w:rPr>
      <w:rFonts w:ascii="仿宋_GB2312" w:eastAsia="仿宋_GB2312"/>
      <w:b/>
      <w:sz w:val="32"/>
      <w:szCs w:val="32"/>
    </w:rPr>
  </w:style>
  <w:style w:type="paragraph" w:customStyle="1" w:styleId="86">
    <w:name w:val="标题1"/>
    <w:next w:val="5"/>
    <w:semiHidden/>
    <w:qFormat/>
    <w:uiPriority w:val="0"/>
    <w:pPr>
      <w:widowControl w:val="0"/>
      <w:spacing w:afterLines="100"/>
      <w:jc w:val="center"/>
      <w:outlineLvl w:val="0"/>
    </w:pPr>
    <w:rPr>
      <w:rFonts w:ascii="宋体" w:hAnsi="宋体" w:eastAsia="宋体" w:cs="Times New Roman"/>
      <w:b/>
      <w:bCs/>
      <w:color w:val="000000"/>
      <w:kern w:val="44"/>
      <w:sz w:val="44"/>
      <w:szCs w:val="44"/>
      <w:lang w:val="en-US" w:eastAsia="zh-CN" w:bidi="ar-SA"/>
    </w:rPr>
  </w:style>
  <w:style w:type="paragraph" w:customStyle="1" w:styleId="87">
    <w:name w:val="标题3"/>
    <w:next w:val="7"/>
    <w:qFormat/>
    <w:uiPriority w:val="0"/>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88">
    <w:name w:val="正文首行缩进两字符"/>
    <w:basedOn w:val="1"/>
    <w:semiHidden/>
    <w:qFormat/>
    <w:uiPriority w:val="0"/>
    <w:pPr>
      <w:spacing w:line="360" w:lineRule="auto"/>
      <w:ind w:firstLine="200" w:firstLineChars="200"/>
    </w:pPr>
  </w:style>
  <w:style w:type="paragraph" w:customStyle="1" w:styleId="89">
    <w:name w:val="样式 标题 3h33rd levelH3l3CTHeading 3 - oldLevel 3 Headlevel..."/>
    <w:basedOn w:val="6"/>
    <w:semiHidden/>
    <w:qFormat/>
    <w:uiPriority w:val="0"/>
    <w:pPr>
      <w:widowControl w:val="0"/>
      <w:tabs>
        <w:tab w:val="left" w:pos="540"/>
      </w:tabs>
      <w:spacing w:before="156" w:beforeLines="0" w:after="156" w:afterLines="0" w:line="360" w:lineRule="auto"/>
      <w:ind w:left="0" w:firstLine="0"/>
      <w:jc w:val="both"/>
    </w:pPr>
    <w:rPr>
      <w:rFonts w:hAnsi="Times New Roman" w:eastAsia="黑体"/>
      <w:b w:val="0"/>
      <w:kern w:val="2"/>
      <w:sz w:val="24"/>
    </w:rPr>
  </w:style>
  <w:style w:type="paragraph" w:customStyle="1" w:styleId="90">
    <w:name w:val="普通 (Web)"/>
    <w:basedOn w:val="1"/>
    <w:semiHidden/>
    <w:qFormat/>
    <w:uiPriority w:val="0"/>
    <w:pPr>
      <w:widowControl/>
      <w:spacing w:before="100" w:beforeAutospacing="1" w:after="100" w:afterAutospacing="1"/>
      <w:jc w:val="left"/>
    </w:pPr>
    <w:rPr>
      <w:rFonts w:ascii="宋体" w:hAnsi="宋体"/>
      <w:kern w:val="0"/>
      <w:sz w:val="24"/>
    </w:rPr>
  </w:style>
  <w:style w:type="character" w:customStyle="1" w:styleId="91">
    <w:name w:val="bds_more1"/>
    <w:qFormat/>
    <w:uiPriority w:val="0"/>
    <w:rPr>
      <w:rFonts w:hint="eastAsia" w:ascii="宋体" w:hAnsi="宋体" w:eastAsia="宋体" w:cs="宋体"/>
    </w:rPr>
  </w:style>
  <w:style w:type="character" w:customStyle="1" w:styleId="92">
    <w:name w:val="tdog-systips"/>
    <w:qFormat/>
    <w:uiPriority w:val="0"/>
  </w:style>
  <w:style w:type="character" w:customStyle="1" w:styleId="93">
    <w:name w:val="tdog-popup-help"/>
    <w:qFormat/>
    <w:uiPriority w:val="0"/>
    <w:rPr>
      <w:vanish/>
    </w:rPr>
  </w:style>
  <w:style w:type="character" w:customStyle="1" w:styleId="94">
    <w:name w:val="tdog-simplepop-icon"/>
    <w:qFormat/>
    <w:uiPriority w:val="0"/>
  </w:style>
  <w:style w:type="character" w:customStyle="1" w:styleId="95">
    <w:name w:val="普通文字1 Char"/>
    <w:qFormat/>
    <w:uiPriority w:val="0"/>
    <w:rPr>
      <w:rFonts w:hint="eastAsia" w:ascii="宋体" w:hAnsi="Courier New" w:eastAsia="宋体" w:cs="Courier New"/>
      <w:kern w:val="2"/>
      <w:sz w:val="21"/>
      <w:szCs w:val="21"/>
      <w:lang w:val="en-US" w:eastAsia="zh-CN" w:bidi="ar-SA"/>
    </w:rPr>
  </w:style>
  <w:style w:type="character" w:customStyle="1" w:styleId="96">
    <w:name w:val="font01"/>
    <w:qFormat/>
    <w:uiPriority w:val="0"/>
    <w:rPr>
      <w:rFonts w:hint="eastAsia" w:ascii="宋体" w:hAnsi="宋体" w:eastAsia="宋体" w:cs="宋体"/>
      <w:b/>
      <w:color w:val="000000"/>
      <w:sz w:val="20"/>
      <w:szCs w:val="20"/>
    </w:rPr>
  </w:style>
  <w:style w:type="character" w:customStyle="1" w:styleId="97">
    <w:name w:val="tdog-info-toolopen"/>
    <w:qFormat/>
    <w:uiPriority w:val="0"/>
  </w:style>
  <w:style w:type="character" w:customStyle="1" w:styleId="98">
    <w:name w:val="tdog-popup-minimize"/>
    <w:qFormat/>
    <w:uiPriority w:val="0"/>
  </w:style>
  <w:style w:type="character" w:customStyle="1" w:styleId="99">
    <w:name w:val="纯文本 Char1"/>
    <w:semiHidden/>
    <w:qFormat/>
    <w:uiPriority w:val="99"/>
    <w:rPr>
      <w:rFonts w:hint="eastAsia" w:ascii="宋体" w:hAnsi="Courier New" w:eastAsia="宋体" w:cs="Courier New"/>
      <w:kern w:val="2"/>
      <w:sz w:val="21"/>
      <w:szCs w:val="21"/>
    </w:rPr>
  </w:style>
  <w:style w:type="character" w:customStyle="1" w:styleId="100">
    <w:name w:val="15"/>
    <w:qFormat/>
    <w:uiPriority w:val="0"/>
    <w:rPr>
      <w:rFonts w:hint="default" w:ascii="Times New Roman" w:hAnsi="Times New Roman" w:cs="Times New Roman"/>
      <w:color w:val="0000FF"/>
      <w:u w:val="single"/>
    </w:rPr>
  </w:style>
  <w:style w:type="character" w:customStyle="1" w:styleId="101">
    <w:name w:val="bds_more2"/>
    <w:qFormat/>
    <w:uiPriority w:val="0"/>
    <w:rPr>
      <w:rFonts w:hint="default" w:ascii="宋体 ! important" w:hAnsi="宋体 ! important" w:eastAsia="宋体 ! important" w:cs="宋体 ! important"/>
      <w:color w:val="454545"/>
      <w:sz w:val="21"/>
      <w:szCs w:val="21"/>
    </w:rPr>
  </w:style>
  <w:style w:type="character" w:customStyle="1" w:styleId="102">
    <w:name w:val="bds_nopic2"/>
    <w:qFormat/>
    <w:uiPriority w:val="0"/>
  </w:style>
  <w:style w:type="character" w:customStyle="1" w:styleId="103">
    <w:name w:val="正文文本 Char1"/>
    <w:semiHidden/>
    <w:qFormat/>
    <w:uiPriority w:val="99"/>
    <w:rPr>
      <w:kern w:val="2"/>
      <w:sz w:val="21"/>
      <w:szCs w:val="24"/>
    </w:rPr>
  </w:style>
  <w:style w:type="character" w:customStyle="1" w:styleId="104">
    <w:name w:val="tdog-msg-count"/>
    <w:qFormat/>
    <w:uiPriority w:val="0"/>
    <w:rPr>
      <w:color w:val="0B4F9E"/>
    </w:rPr>
  </w:style>
  <w:style w:type="character" w:customStyle="1" w:styleId="105">
    <w:name w:val="tdog-info-mailicon2"/>
    <w:qFormat/>
    <w:uiPriority w:val="0"/>
  </w:style>
  <w:style w:type="character" w:customStyle="1" w:styleId="106">
    <w:name w:val="日期 Char1"/>
    <w:semiHidden/>
    <w:qFormat/>
    <w:uiPriority w:val="99"/>
    <w:rPr>
      <w:kern w:val="2"/>
      <w:sz w:val="21"/>
      <w:szCs w:val="24"/>
    </w:rPr>
  </w:style>
  <w:style w:type="character" w:customStyle="1" w:styleId="107">
    <w:name w:val="apple-converted-space"/>
    <w:qFormat/>
    <w:uiPriority w:val="0"/>
  </w:style>
  <w:style w:type="character" w:customStyle="1" w:styleId="108">
    <w:name w:val="tdog-info-title"/>
    <w:qFormat/>
    <w:uiPriority w:val="0"/>
  </w:style>
  <w:style w:type="character" w:customStyle="1" w:styleId="109">
    <w:name w:val="tdog-popup-talkbar-report"/>
    <w:qFormat/>
    <w:uiPriority w:val="0"/>
  </w:style>
  <w:style w:type="character" w:customStyle="1" w:styleId="110">
    <w:name w:val="tdog-popup-talkbar-clear"/>
    <w:qFormat/>
    <w:uiPriority w:val="0"/>
  </w:style>
  <w:style w:type="character" w:customStyle="1" w:styleId="111">
    <w:name w:val="bds_nopic1"/>
    <w:qFormat/>
    <w:uiPriority w:val="0"/>
  </w:style>
  <w:style w:type="character" w:customStyle="1" w:styleId="112">
    <w:name w:val="hidden2"/>
    <w:qFormat/>
    <w:uiPriority w:val="0"/>
    <w:rPr>
      <w:vanish/>
    </w:rPr>
  </w:style>
  <w:style w:type="character" w:customStyle="1" w:styleId="113">
    <w:name w:val="bds_more"/>
    <w:qFormat/>
    <w:uiPriority w:val="0"/>
  </w:style>
  <w:style w:type="character" w:customStyle="1" w:styleId="114">
    <w:name w:val="hover9"/>
    <w:qFormat/>
    <w:uiPriority w:val="0"/>
    <w:rPr>
      <w:bdr w:val="single" w:color="808080" w:sz="6" w:space="0"/>
    </w:rPr>
  </w:style>
  <w:style w:type="character" w:customStyle="1" w:styleId="115">
    <w:name w:val="font11"/>
    <w:qFormat/>
    <w:uiPriority w:val="0"/>
    <w:rPr>
      <w:rFonts w:hint="eastAsia" w:ascii="宋体" w:hAnsi="宋体" w:eastAsia="宋体" w:cs="宋体"/>
      <w:color w:val="000000"/>
      <w:sz w:val="20"/>
      <w:szCs w:val="20"/>
    </w:rPr>
  </w:style>
  <w:style w:type="character" w:customStyle="1" w:styleId="116">
    <w:name w:val="tdog-closebut"/>
    <w:qFormat/>
    <w:uiPriority w:val="0"/>
  </w:style>
  <w:style w:type="character" w:customStyle="1" w:styleId="117">
    <w:name w:val="tdog-user-name"/>
    <w:qFormat/>
    <w:uiPriority w:val="0"/>
  </w:style>
  <w:style w:type="character" w:customStyle="1" w:styleId="118">
    <w:name w:val="bds_nopic"/>
    <w:qFormat/>
    <w:uiPriority w:val="0"/>
  </w:style>
  <w:style w:type="character" w:customStyle="1" w:styleId="119">
    <w:name w:val="tdog-minimizebut"/>
    <w:qFormat/>
    <w:uiPriority w:val="0"/>
  </w:style>
  <w:style w:type="character" w:customStyle="1" w:styleId="120">
    <w:name w:val="tdog-info-toolclose"/>
    <w:qFormat/>
    <w:uiPriority w:val="0"/>
  </w:style>
  <w:style w:type="paragraph" w:customStyle="1" w:styleId="121">
    <w:name w:val="z-窗体底端1"/>
    <w:basedOn w:val="1"/>
    <w:next w:val="1"/>
    <w:link w:val="122"/>
    <w:semiHidden/>
    <w:unhideWhenUsed/>
    <w:qFormat/>
    <w:uiPriority w:val="0"/>
    <w:pPr>
      <w:pBdr>
        <w:top w:val="single" w:color="auto" w:sz="6" w:space="1"/>
      </w:pBdr>
      <w:jc w:val="center"/>
    </w:pPr>
    <w:rPr>
      <w:rFonts w:ascii="Arial" w:hAnsi="Arial"/>
      <w:vanish/>
      <w:sz w:val="16"/>
      <w:szCs w:val="16"/>
      <w:lang w:val="zh-CN"/>
    </w:rPr>
  </w:style>
  <w:style w:type="character" w:customStyle="1" w:styleId="122">
    <w:name w:val="z-窗体底端 Char"/>
    <w:link w:val="121"/>
    <w:semiHidden/>
    <w:qFormat/>
    <w:uiPriority w:val="0"/>
    <w:rPr>
      <w:rFonts w:ascii="Arial" w:hAnsi="Arial" w:cs="Arial"/>
      <w:vanish/>
      <w:kern w:val="2"/>
      <w:sz w:val="16"/>
      <w:szCs w:val="16"/>
    </w:rPr>
  </w:style>
  <w:style w:type="paragraph" w:customStyle="1" w:styleId="123">
    <w:name w:val="z-窗体顶端1"/>
    <w:basedOn w:val="1"/>
    <w:next w:val="1"/>
    <w:link w:val="124"/>
    <w:semiHidden/>
    <w:unhideWhenUsed/>
    <w:qFormat/>
    <w:uiPriority w:val="0"/>
    <w:pPr>
      <w:pBdr>
        <w:bottom w:val="single" w:color="auto" w:sz="6" w:space="1"/>
      </w:pBdr>
      <w:jc w:val="center"/>
    </w:pPr>
    <w:rPr>
      <w:rFonts w:ascii="Arial" w:hAnsi="Arial"/>
      <w:vanish/>
      <w:sz w:val="16"/>
      <w:szCs w:val="16"/>
      <w:lang w:val="zh-CN"/>
    </w:rPr>
  </w:style>
  <w:style w:type="character" w:customStyle="1" w:styleId="124">
    <w:name w:val="z-窗体顶端 Char"/>
    <w:link w:val="123"/>
    <w:semiHidden/>
    <w:qFormat/>
    <w:uiPriority w:val="0"/>
    <w:rPr>
      <w:rFonts w:ascii="Arial" w:hAnsi="Arial" w:cs="Arial"/>
      <w:vanish/>
      <w:kern w:val="2"/>
      <w:sz w:val="16"/>
      <w:szCs w:val="16"/>
    </w:rPr>
  </w:style>
  <w:style w:type="character" w:customStyle="1" w:styleId="125">
    <w:name w:val="正文文本缩进 Char"/>
    <w:link w:val="17"/>
    <w:semiHidden/>
    <w:qFormat/>
    <w:uiPriority w:val="99"/>
    <w:rPr>
      <w:rFonts w:ascii="Times New Roman" w:hAnsi="Times New Roman"/>
      <w:kern w:val="2"/>
      <w:sz w:val="21"/>
      <w:szCs w:val="24"/>
    </w:rPr>
  </w:style>
  <w:style w:type="character" w:customStyle="1" w:styleId="126">
    <w:name w:val="正文首行缩进 2 Char"/>
    <w:basedOn w:val="125"/>
    <w:link w:val="36"/>
    <w:semiHidden/>
    <w:qFormat/>
    <w:uiPriority w:val="99"/>
    <w:rPr>
      <w:rFonts w:ascii="Times New Roman" w:hAnsi="Times New Roman"/>
      <w:kern w:val="2"/>
      <w:sz w:val="21"/>
      <w:szCs w:val="24"/>
    </w:rPr>
  </w:style>
  <w:style w:type="character" w:customStyle="1" w:styleId="127">
    <w:name w:val="批注框文本 Char"/>
    <w:basedOn w:val="39"/>
    <w:link w:val="22"/>
    <w:semiHidden/>
    <w:qFormat/>
    <w:uiPriority w:val="99"/>
    <w:rPr>
      <w:rFonts w:ascii="Times New Roman" w:hAnsi="Times New Roman"/>
      <w:kern w:val="2"/>
      <w:sz w:val="18"/>
      <w:szCs w:val="18"/>
    </w:rPr>
  </w:style>
  <w:style w:type="character" w:customStyle="1" w:styleId="128">
    <w:name w:val="正文文本缩进 3 Char"/>
    <w:basedOn w:val="39"/>
    <w:link w:val="30"/>
    <w:semiHidden/>
    <w:qFormat/>
    <w:uiPriority w:val="99"/>
    <w:rPr>
      <w:rFonts w:ascii="Times New Roman" w:hAnsi="Times New Roman"/>
      <w:kern w:val="2"/>
      <w:sz w:val="16"/>
      <w:szCs w:val="16"/>
    </w:rPr>
  </w:style>
  <w:style w:type="character" w:customStyle="1" w:styleId="129">
    <w:name w:val="NormalCharacter"/>
    <w:qFormat/>
    <w:uiPriority w:val="0"/>
    <w:rPr>
      <w:kern w:val="2"/>
      <w:sz w:val="21"/>
      <w:szCs w:val="24"/>
      <w:lang w:val="en-US" w:eastAsia="zh-CN" w:bidi="ar-SA"/>
    </w:rPr>
  </w:style>
  <w:style w:type="paragraph" w:customStyle="1" w:styleId="130">
    <w:name w:val="Table Paragraph"/>
    <w:basedOn w:val="1"/>
    <w:qFormat/>
    <w:uiPriority w:val="1"/>
    <w:rPr>
      <w:rFonts w:ascii="宋体" w:hAnsi="宋体" w:cs="宋体"/>
      <w:sz w:val="32"/>
      <w:lang w:val="zh-CN" w:bidi="zh-CN"/>
    </w:rPr>
  </w:style>
  <w:style w:type="table" w:customStyle="1" w:styleId="131">
    <w:name w:val="网格型1"/>
    <w:basedOn w:val="37"/>
    <w:qFormat/>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32">
    <w:name w:val="TOC Heading"/>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lang w:val="en-US"/>
    </w:rPr>
  </w:style>
  <w:style w:type="paragraph" w:customStyle="1" w:styleId="133">
    <w:name w:val="首行缩进"/>
    <w:basedOn w:val="1"/>
    <w:qFormat/>
    <w:uiPriority w:val="99"/>
    <w:pPr>
      <w:spacing w:line="360" w:lineRule="auto"/>
      <w:ind w:firstLine="480" w:firstLineChars="200"/>
      <w:jc w:val="left"/>
    </w:pPr>
    <w:rPr>
      <w:rFonts w:ascii="宋体" w:hAnsi="宋体"/>
      <w:sz w:val="24"/>
    </w:rPr>
  </w:style>
  <w:style w:type="character" w:customStyle="1" w:styleId="134">
    <w:name w:val="font21"/>
    <w:basedOn w:val="39"/>
    <w:qFormat/>
    <w:uiPriority w:val="0"/>
    <w:rPr>
      <w:rFonts w:hint="eastAsia" w:ascii="宋体" w:hAnsi="宋体" w:eastAsia="宋体" w:cs="宋体"/>
      <w:color w:val="000000"/>
      <w:sz w:val="21"/>
      <w:szCs w:val="21"/>
      <w:u w:val="none"/>
    </w:rPr>
  </w:style>
  <w:style w:type="character" w:customStyle="1" w:styleId="135">
    <w:name w:val="font31"/>
    <w:basedOn w:val="39"/>
    <w:qFormat/>
    <w:uiPriority w:val="0"/>
    <w:rPr>
      <w:rFonts w:hint="eastAsia" w:ascii="宋体" w:hAnsi="宋体" w:eastAsia="宋体" w:cs="宋体"/>
      <w:color w:val="000000"/>
      <w:sz w:val="21"/>
      <w:szCs w:val="21"/>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D2808-0AE7-4D63-AD0C-AA9F4A8B13E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52</Pages>
  <Words>23379</Words>
  <Characters>24607</Characters>
  <Lines>326</Lines>
  <Paragraphs>92</Paragraphs>
  <TotalTime>42</TotalTime>
  <ScaleCrop>false</ScaleCrop>
  <LinksUpToDate>false</LinksUpToDate>
  <CharactersWithSpaces>26633</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2018-06-01T00:59:00Z</dcterms:created>
  <dc:creator>admin</dc:creator>
  <cp:lastModifiedBy>Administrator</cp:lastModifiedBy>
  <cp:lastPrinted>2023-03-31T05:43:00Z</cp:lastPrinted>
  <dcterms:modified xsi:type="dcterms:W3CDTF">2023-04-06T00:37:56Z</dcterms:modified>
  <dc:title>池州市贵池区“十三五”扶贫光伏电站建设项目</dc:title>
  <cp:revision>1077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944C53E577514D6CA17A98CEF77C1ABC</vt:lpwstr>
  </property>
</Properties>
</file>